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F388" w14:textId="10DE71C9" w:rsidR="009C3E06" w:rsidRDefault="009C3E06" w:rsidP="009C3E06">
      <w:pPr>
        <w:spacing w:before="100" w:beforeAutospacing="1" w:after="100" w:afterAutospacing="1"/>
        <w:jc w:val="center"/>
        <w:rPr>
          <w:rFonts w:eastAsia="Times New Roman" w:cstheme="minorHAnsi"/>
          <w:color w:val="FF0000"/>
          <w:sz w:val="24"/>
          <w:szCs w:val="24"/>
          <w:highlight w:val="yellow"/>
        </w:rPr>
      </w:pPr>
      <w:bookmarkStart w:id="0" w:name="_Hlk29822936"/>
      <w:r>
        <w:rPr>
          <w:rFonts w:eastAsia="Times New Roman" w:cstheme="minorHAnsi"/>
          <w:color w:val="FF0000"/>
          <w:sz w:val="24"/>
          <w:szCs w:val="24"/>
          <w:highlight w:val="yellow"/>
        </w:rPr>
        <w:t>[WE INVITE YOU TO PERSONALIZE HIGHLIGHTED AREAS – AND BE SURE TO REMOVE THE HIGHLIGHTED GUIDES!]</w:t>
      </w:r>
    </w:p>
    <w:p w14:paraId="34A64DD7" w14:textId="06EB63EB" w:rsidR="00CF6E73" w:rsidRPr="0020190E" w:rsidRDefault="000C1498" w:rsidP="00CF6E73">
      <w:pPr>
        <w:spacing w:before="100" w:beforeAutospacing="1" w:after="100" w:afterAutospacing="1"/>
        <w:rPr>
          <w:rFonts w:eastAsia="Times New Roman" w:cstheme="minorHAnsi"/>
          <w:sz w:val="24"/>
          <w:szCs w:val="24"/>
        </w:rPr>
      </w:pPr>
      <w:r w:rsidRPr="002270B0">
        <w:rPr>
          <w:rFonts w:eastAsia="Times New Roman" w:cstheme="minorHAnsi"/>
          <w:color w:val="FF0000"/>
          <w:sz w:val="24"/>
          <w:szCs w:val="24"/>
          <w:highlight w:val="yellow"/>
        </w:rPr>
        <w:t>DATE</w:t>
      </w:r>
      <w:r>
        <w:rPr>
          <w:rFonts w:eastAsia="Times New Roman" w:cstheme="minorHAnsi"/>
          <w:sz w:val="24"/>
          <w:szCs w:val="24"/>
        </w:rPr>
        <w:t>,</w:t>
      </w:r>
    </w:p>
    <w:bookmarkEnd w:id="0"/>
    <w:p w14:paraId="6B04F1EB" w14:textId="77777777" w:rsidR="00CF6E73" w:rsidRPr="00835B4F" w:rsidRDefault="00CF6E73" w:rsidP="00CF6E73">
      <w:pPr>
        <w:spacing w:before="100" w:beforeAutospacing="1" w:after="100" w:afterAutospacing="1"/>
        <w:rPr>
          <w:rFonts w:eastAsia="Times New Roman" w:cstheme="minorHAnsi"/>
          <w:b/>
          <w:sz w:val="24"/>
          <w:szCs w:val="24"/>
        </w:rPr>
      </w:pPr>
      <w:r w:rsidRPr="00835B4F">
        <w:rPr>
          <w:rFonts w:eastAsia="Times New Roman" w:cstheme="minorHAnsi"/>
          <w:b/>
          <w:sz w:val="24"/>
          <w:szCs w:val="24"/>
        </w:rPr>
        <w:t>Comments regarding “Reforming the Community Reinvestment Act R</w:t>
      </w:r>
      <w:bookmarkStart w:id="1" w:name="_GoBack"/>
      <w:bookmarkEnd w:id="1"/>
      <w:r w:rsidRPr="00835B4F">
        <w:rPr>
          <w:rFonts w:eastAsia="Times New Roman" w:cstheme="minorHAnsi"/>
          <w:b/>
          <w:sz w:val="24"/>
          <w:szCs w:val="24"/>
        </w:rPr>
        <w:t>egulatory Framework”</w:t>
      </w:r>
    </w:p>
    <w:p w14:paraId="45157C5F" w14:textId="1379B9CE" w:rsidR="001631A4" w:rsidRPr="001631A4" w:rsidRDefault="00CF6E73" w:rsidP="00CF6E73">
      <w:pPr>
        <w:spacing w:before="100" w:beforeAutospacing="1" w:after="100" w:afterAutospacing="1"/>
        <w:rPr>
          <w:rFonts w:cs="Arial"/>
          <w:color w:val="000000"/>
          <w:sz w:val="24"/>
          <w:szCs w:val="24"/>
        </w:rPr>
      </w:pPr>
      <w:bookmarkStart w:id="2" w:name="_Hlk29822919"/>
      <w:r w:rsidRPr="001631A4">
        <w:rPr>
          <w:rFonts w:cs="Arial"/>
          <w:color w:val="000000"/>
          <w:sz w:val="24"/>
          <w:szCs w:val="24"/>
        </w:rPr>
        <w:t>RE:</w:t>
      </w:r>
      <w:r w:rsidR="001631A4" w:rsidRPr="001631A4">
        <w:rPr>
          <w:rFonts w:cs="Arial"/>
          <w:color w:val="000000"/>
          <w:sz w:val="24"/>
          <w:szCs w:val="24"/>
        </w:rPr>
        <w:t xml:space="preserve"> RIN 1557-AE34, Federal Register Number 2019-27940, Docket ID OCC-2018-0008 </w:t>
      </w:r>
    </w:p>
    <w:bookmarkEnd w:id="2"/>
    <w:p w14:paraId="1A8EA767" w14:textId="11BAC49D" w:rsidR="00CF6E73" w:rsidRPr="0020190E" w:rsidRDefault="00CF6E73" w:rsidP="00CF6E73">
      <w:pPr>
        <w:spacing w:before="100" w:beforeAutospacing="1" w:after="100" w:afterAutospacing="1"/>
        <w:rPr>
          <w:rFonts w:eastAsia="Times New Roman" w:cstheme="minorHAnsi"/>
          <w:sz w:val="24"/>
          <w:szCs w:val="24"/>
        </w:rPr>
      </w:pPr>
      <w:r w:rsidRPr="0020190E">
        <w:rPr>
          <w:rFonts w:eastAsia="Times New Roman" w:cstheme="minorHAnsi"/>
          <w:sz w:val="24"/>
          <w:szCs w:val="24"/>
        </w:rPr>
        <w:t>To Whom It May Concern:</w:t>
      </w:r>
    </w:p>
    <w:p w14:paraId="6DB8DE9A" w14:textId="320694D3" w:rsidR="00BC0AA3" w:rsidRPr="00D575A2" w:rsidRDefault="002379EB" w:rsidP="00BC0AA3">
      <w:pPr>
        <w:rPr>
          <w:rFonts w:cs="Arial"/>
          <w:color w:val="000000"/>
          <w:sz w:val="24"/>
          <w:szCs w:val="24"/>
        </w:rPr>
      </w:pPr>
      <w:r w:rsidRPr="00D575A2">
        <w:rPr>
          <w:rFonts w:cs="Arial"/>
          <w:color w:val="000000"/>
          <w:sz w:val="24"/>
          <w:szCs w:val="24"/>
        </w:rPr>
        <w:t>I am writing regarding the OCC</w:t>
      </w:r>
      <w:r w:rsidR="00E10F78">
        <w:rPr>
          <w:rFonts w:cs="Arial"/>
          <w:color w:val="000000"/>
          <w:sz w:val="24"/>
          <w:szCs w:val="24"/>
        </w:rPr>
        <w:t xml:space="preserve"> and FDIC</w:t>
      </w:r>
      <w:r w:rsidRPr="00D575A2">
        <w:rPr>
          <w:rFonts w:cs="Arial"/>
          <w:color w:val="000000"/>
          <w:sz w:val="24"/>
          <w:szCs w:val="24"/>
        </w:rPr>
        <w:t xml:space="preserve">’s Notice of Proposed Rulemaking (NPR) </w:t>
      </w:r>
      <w:r w:rsidR="00BC0AA3">
        <w:rPr>
          <w:rFonts w:cs="Arial"/>
          <w:color w:val="000000"/>
          <w:sz w:val="24"/>
          <w:szCs w:val="24"/>
        </w:rPr>
        <w:t>seeking input on proposed changes to</w:t>
      </w:r>
      <w:r w:rsidRPr="00D575A2">
        <w:rPr>
          <w:rFonts w:cs="Arial"/>
          <w:color w:val="000000"/>
          <w:sz w:val="24"/>
          <w:szCs w:val="24"/>
        </w:rPr>
        <w:t xml:space="preserve"> the Community Reinvestment Act (CRA</w:t>
      </w:r>
      <w:r w:rsidR="00BC0AA3">
        <w:rPr>
          <w:rFonts w:cs="Arial"/>
          <w:color w:val="000000"/>
          <w:sz w:val="24"/>
          <w:szCs w:val="24"/>
        </w:rPr>
        <w:t>).  [</w:t>
      </w:r>
      <w:r w:rsidR="00BC0AA3" w:rsidRPr="002270B0">
        <w:rPr>
          <w:rFonts w:cs="Arial"/>
          <w:b/>
          <w:color w:val="FF0000"/>
          <w:sz w:val="24"/>
          <w:szCs w:val="24"/>
          <w:highlight w:val="yellow"/>
        </w:rPr>
        <w:t xml:space="preserve">Introduction to yourself </w:t>
      </w:r>
      <w:r w:rsidR="000A4E29" w:rsidRPr="002270B0">
        <w:rPr>
          <w:rFonts w:cs="Arial"/>
          <w:b/>
          <w:color w:val="FF0000"/>
          <w:sz w:val="24"/>
          <w:szCs w:val="24"/>
          <w:highlight w:val="yellow"/>
        </w:rPr>
        <w:t xml:space="preserve">– say if you’re </w:t>
      </w:r>
      <w:r w:rsidR="002270B0" w:rsidRPr="002270B0">
        <w:rPr>
          <w:rFonts w:cs="Arial"/>
          <w:b/>
          <w:color w:val="FF0000"/>
          <w:sz w:val="24"/>
          <w:szCs w:val="24"/>
          <w:highlight w:val="yellow"/>
        </w:rPr>
        <w:t xml:space="preserve">representing an organization and/or are </w:t>
      </w:r>
      <w:r w:rsidR="000A4E29" w:rsidRPr="002270B0">
        <w:rPr>
          <w:rFonts w:cs="Arial"/>
          <w:b/>
          <w:color w:val="FF0000"/>
          <w:sz w:val="24"/>
          <w:szCs w:val="24"/>
          <w:highlight w:val="yellow"/>
        </w:rPr>
        <w:t>a member of a community organization</w:t>
      </w:r>
      <w:r w:rsidR="002270B0" w:rsidRPr="002270B0">
        <w:rPr>
          <w:rFonts w:cs="Arial"/>
          <w:b/>
          <w:color w:val="FF0000"/>
          <w:sz w:val="24"/>
          <w:szCs w:val="24"/>
        </w:rPr>
        <w:t xml:space="preserve"> </w:t>
      </w:r>
      <w:r w:rsidR="002270B0" w:rsidRPr="002270B0">
        <w:rPr>
          <w:rFonts w:cs="Arial"/>
          <w:b/>
          <w:color w:val="FF0000"/>
          <w:sz w:val="24"/>
          <w:szCs w:val="24"/>
          <w:highlight w:val="yellow"/>
        </w:rPr>
        <w:t>– can also identify if you’re a member of ANHD or NCRC</w:t>
      </w:r>
      <w:r w:rsidR="000A4E29">
        <w:rPr>
          <w:rFonts w:cs="Arial"/>
          <w:color w:val="000000"/>
          <w:sz w:val="24"/>
          <w:szCs w:val="24"/>
        </w:rPr>
        <w:t>]</w:t>
      </w:r>
    </w:p>
    <w:p w14:paraId="68409F05" w14:textId="77777777" w:rsidR="00E176B3" w:rsidRDefault="00E176B3" w:rsidP="00BE0D91">
      <w:pPr>
        <w:rPr>
          <w:rFonts w:cs="Arial"/>
          <w:color w:val="000000"/>
          <w:sz w:val="24"/>
          <w:szCs w:val="24"/>
        </w:rPr>
      </w:pPr>
    </w:p>
    <w:p w14:paraId="1221845F" w14:textId="286ABB49" w:rsidR="00FC2948" w:rsidRDefault="000A4E29" w:rsidP="00BE0D91">
      <w:pPr>
        <w:rPr>
          <w:rFonts w:cs="Arial"/>
          <w:color w:val="000000"/>
          <w:sz w:val="24"/>
          <w:szCs w:val="24"/>
        </w:rPr>
      </w:pPr>
      <w:r>
        <w:rPr>
          <w:rFonts w:cs="Arial"/>
          <w:color w:val="000000"/>
          <w:sz w:val="24"/>
          <w:szCs w:val="24"/>
        </w:rPr>
        <w:t>I</w:t>
      </w:r>
      <w:r w:rsidR="00346B28">
        <w:rPr>
          <w:rFonts w:cs="Arial"/>
          <w:color w:val="000000"/>
          <w:sz w:val="24"/>
          <w:szCs w:val="24"/>
        </w:rPr>
        <w:t xml:space="preserve"> have significant concerns about the ideas presented in the </w:t>
      </w:r>
      <w:r w:rsidR="000C1498">
        <w:rPr>
          <w:rFonts w:cs="Arial"/>
          <w:color w:val="000000"/>
          <w:sz w:val="24"/>
          <w:szCs w:val="24"/>
        </w:rPr>
        <w:t>NPR</w:t>
      </w:r>
      <w:r w:rsidR="00346B28">
        <w:rPr>
          <w:rFonts w:cs="Arial"/>
          <w:color w:val="000000"/>
          <w:sz w:val="24"/>
          <w:szCs w:val="24"/>
        </w:rPr>
        <w:t xml:space="preserve"> </w:t>
      </w:r>
      <w:r w:rsidR="00352075">
        <w:rPr>
          <w:rFonts w:cs="Arial"/>
          <w:color w:val="000000"/>
          <w:sz w:val="24"/>
          <w:szCs w:val="24"/>
        </w:rPr>
        <w:t xml:space="preserve">that would significantly weaken the CRA, leading to less investment, fewer loans and </w:t>
      </w:r>
      <w:r w:rsidR="00A153CD">
        <w:rPr>
          <w:rFonts w:cs="Arial"/>
          <w:color w:val="000000"/>
          <w:sz w:val="24"/>
          <w:szCs w:val="24"/>
        </w:rPr>
        <w:t>branches</w:t>
      </w:r>
      <w:r w:rsidR="00352075">
        <w:rPr>
          <w:rFonts w:cs="Arial"/>
          <w:color w:val="000000"/>
          <w:sz w:val="24"/>
          <w:szCs w:val="24"/>
        </w:rPr>
        <w:t xml:space="preserve">, and less meaningful investment.  I’m also very concerned that </w:t>
      </w:r>
      <w:r w:rsidR="00346B28">
        <w:rPr>
          <w:rFonts w:cs="Arial"/>
          <w:color w:val="000000"/>
          <w:sz w:val="24"/>
          <w:szCs w:val="24"/>
        </w:rPr>
        <w:t>the OCC</w:t>
      </w:r>
      <w:r w:rsidR="00E10F78">
        <w:rPr>
          <w:rFonts w:cs="Arial"/>
          <w:color w:val="000000"/>
          <w:sz w:val="24"/>
          <w:szCs w:val="24"/>
        </w:rPr>
        <w:t xml:space="preserve"> and FDIC (“the agencies”) are</w:t>
      </w:r>
      <w:r w:rsidR="00346B28">
        <w:rPr>
          <w:rFonts w:cs="Arial"/>
          <w:color w:val="000000"/>
          <w:sz w:val="24"/>
          <w:szCs w:val="24"/>
        </w:rPr>
        <w:t xml:space="preserve"> moving forward without the </w:t>
      </w:r>
      <w:r w:rsidR="00E10F78">
        <w:rPr>
          <w:rFonts w:cs="Arial"/>
          <w:color w:val="000000"/>
          <w:sz w:val="24"/>
          <w:szCs w:val="24"/>
        </w:rPr>
        <w:t xml:space="preserve">cooperation of the </w:t>
      </w:r>
      <w:r w:rsidR="000C1498">
        <w:rPr>
          <w:rFonts w:cs="Arial"/>
          <w:color w:val="000000"/>
          <w:sz w:val="24"/>
          <w:szCs w:val="24"/>
        </w:rPr>
        <w:t>Federal Reserve Board</w:t>
      </w:r>
      <w:r w:rsidR="00352075">
        <w:rPr>
          <w:rFonts w:cs="Arial"/>
          <w:color w:val="000000"/>
          <w:sz w:val="24"/>
          <w:szCs w:val="24"/>
        </w:rPr>
        <w:t>, which has correctly stepped away from this flawed proposal</w:t>
      </w:r>
      <w:r w:rsidR="00346B28">
        <w:rPr>
          <w:rFonts w:cs="Arial"/>
          <w:color w:val="000000"/>
          <w:sz w:val="24"/>
          <w:szCs w:val="24"/>
        </w:rPr>
        <w:t xml:space="preserve">. </w:t>
      </w:r>
      <w:r w:rsidR="000C1498">
        <w:rPr>
          <w:rFonts w:cs="Arial"/>
          <w:color w:val="000000"/>
          <w:sz w:val="24"/>
          <w:szCs w:val="24"/>
        </w:rPr>
        <w:t xml:space="preserve"> </w:t>
      </w:r>
      <w:r w:rsidR="00352075">
        <w:rPr>
          <w:rFonts w:cs="Arial"/>
          <w:color w:val="000000"/>
          <w:sz w:val="24"/>
          <w:szCs w:val="24"/>
        </w:rPr>
        <w:t>Banks should not be operating under different rules around community reinvestment.</w:t>
      </w:r>
    </w:p>
    <w:p w14:paraId="2ADFE629" w14:textId="77777777" w:rsidR="00FC2948" w:rsidRPr="00D575A2" w:rsidRDefault="00FC2948" w:rsidP="00BE0D91">
      <w:pPr>
        <w:rPr>
          <w:rFonts w:cs="Arial"/>
          <w:color w:val="000000"/>
          <w:sz w:val="24"/>
          <w:szCs w:val="24"/>
        </w:rPr>
      </w:pPr>
    </w:p>
    <w:p w14:paraId="66BD6026" w14:textId="68392C11" w:rsidR="000C1498" w:rsidRDefault="000C1498" w:rsidP="004579AD">
      <w:pPr>
        <w:rPr>
          <w:sz w:val="24"/>
          <w:szCs w:val="24"/>
        </w:rPr>
      </w:pPr>
      <w:r>
        <w:rPr>
          <w:sz w:val="24"/>
          <w:szCs w:val="24"/>
        </w:rPr>
        <w:t xml:space="preserve">The CRA is one of the major civil rights laws that were passed in </w:t>
      </w:r>
      <w:r w:rsidRPr="00D575A2">
        <w:rPr>
          <w:sz w:val="24"/>
          <w:szCs w:val="24"/>
        </w:rPr>
        <w:t>response to discriminatory policies and practices that locked people of color out of banking, credit, housing, employment, and education</w:t>
      </w:r>
      <w:r>
        <w:rPr>
          <w:sz w:val="24"/>
          <w:szCs w:val="24"/>
        </w:rPr>
        <w:t xml:space="preserve">. </w:t>
      </w:r>
      <w:r w:rsidR="0034661E">
        <w:rPr>
          <w:sz w:val="24"/>
          <w:szCs w:val="24"/>
        </w:rPr>
        <w:t xml:space="preserve">It </w:t>
      </w:r>
      <w:r w:rsidR="0034661E" w:rsidRPr="00D575A2">
        <w:rPr>
          <w:sz w:val="24"/>
          <w:szCs w:val="24"/>
        </w:rPr>
        <w:t xml:space="preserve">is one of the most important laws we have </w:t>
      </w:r>
      <w:r w:rsidR="001B044A">
        <w:rPr>
          <w:sz w:val="24"/>
          <w:szCs w:val="24"/>
        </w:rPr>
        <w:t>that</w:t>
      </w:r>
      <w:r w:rsidR="0034661E" w:rsidRPr="00D575A2">
        <w:rPr>
          <w:sz w:val="24"/>
          <w:szCs w:val="24"/>
        </w:rPr>
        <w:t xml:space="preserve"> hold</w:t>
      </w:r>
      <w:r w:rsidR="001B044A">
        <w:rPr>
          <w:sz w:val="24"/>
          <w:szCs w:val="24"/>
        </w:rPr>
        <w:t>s</w:t>
      </w:r>
      <w:r w:rsidR="0034661E" w:rsidRPr="00D575A2">
        <w:rPr>
          <w:sz w:val="24"/>
          <w:szCs w:val="24"/>
        </w:rPr>
        <w:t xml:space="preserve"> banks accountable to local communities, requiring them to lend and provide services equitably, and to </w:t>
      </w:r>
      <w:r w:rsidR="0034661E">
        <w:rPr>
          <w:sz w:val="24"/>
          <w:szCs w:val="24"/>
        </w:rPr>
        <w:t>support community development</w:t>
      </w:r>
      <w:r w:rsidR="0034661E" w:rsidRPr="00D575A2">
        <w:rPr>
          <w:sz w:val="24"/>
          <w:szCs w:val="24"/>
        </w:rPr>
        <w:t xml:space="preserve"> in the areas where they do business.</w:t>
      </w:r>
      <w:r w:rsidR="0034661E">
        <w:rPr>
          <w:sz w:val="24"/>
          <w:szCs w:val="24"/>
        </w:rPr>
        <w:t xml:space="preserve"> </w:t>
      </w:r>
      <w:r w:rsidR="0034661E" w:rsidRPr="00D575A2">
        <w:rPr>
          <w:sz w:val="24"/>
          <w:szCs w:val="24"/>
        </w:rPr>
        <w:t xml:space="preserve">It has led to </w:t>
      </w:r>
      <w:hyperlink r:id="rId8" w:history="1">
        <w:r w:rsidR="0034661E" w:rsidRPr="005C0016">
          <w:rPr>
            <w:rStyle w:val="Hyperlink"/>
            <w:sz w:val="24"/>
            <w:szCs w:val="24"/>
          </w:rPr>
          <w:t>trillions of dollars reinvested nationwide</w:t>
        </w:r>
      </w:hyperlink>
      <w:r w:rsidR="0034661E" w:rsidRPr="00D575A2">
        <w:rPr>
          <w:sz w:val="24"/>
          <w:szCs w:val="24"/>
        </w:rPr>
        <w:t xml:space="preserve">, and </w:t>
      </w:r>
      <w:hyperlink r:id="rId9" w:history="1">
        <w:r w:rsidR="0034661E" w:rsidRPr="005C0016">
          <w:rPr>
            <w:rStyle w:val="Hyperlink"/>
            <w:sz w:val="24"/>
            <w:szCs w:val="24"/>
          </w:rPr>
          <w:t>billions each year here in New York City</w:t>
        </w:r>
      </w:hyperlink>
      <w:r w:rsidR="0034661E">
        <w:rPr>
          <w:rStyle w:val="Hyperlink"/>
          <w:sz w:val="24"/>
          <w:szCs w:val="24"/>
        </w:rPr>
        <w:t xml:space="preserve">. </w:t>
      </w:r>
    </w:p>
    <w:p w14:paraId="52648E52" w14:textId="77777777" w:rsidR="000C1498" w:rsidRDefault="000C1498" w:rsidP="004579AD">
      <w:pPr>
        <w:rPr>
          <w:sz w:val="24"/>
          <w:szCs w:val="24"/>
        </w:rPr>
      </w:pPr>
    </w:p>
    <w:p w14:paraId="6A8D8ED4" w14:textId="18748455" w:rsidR="00FC2948" w:rsidRDefault="00FC2948" w:rsidP="004579AD">
      <w:pPr>
        <w:rPr>
          <w:b/>
          <w:sz w:val="24"/>
          <w:szCs w:val="24"/>
        </w:rPr>
      </w:pPr>
      <w:r w:rsidRPr="00FC2948">
        <w:rPr>
          <w:b/>
          <w:sz w:val="24"/>
          <w:szCs w:val="24"/>
          <w:highlight w:val="yellow"/>
        </w:rPr>
        <w:t>[</w:t>
      </w:r>
      <w:r w:rsidRPr="002270B0">
        <w:rPr>
          <w:b/>
          <w:sz w:val="24"/>
          <w:szCs w:val="24"/>
          <w:highlight w:val="yellow"/>
        </w:rPr>
        <w:t xml:space="preserve">WHY </w:t>
      </w:r>
      <w:r w:rsidR="0034661E" w:rsidRPr="002270B0">
        <w:rPr>
          <w:b/>
          <w:sz w:val="24"/>
          <w:szCs w:val="24"/>
          <w:highlight w:val="yellow"/>
        </w:rPr>
        <w:t>DOES THE CRA MATTER TO YOU / YOUR COMMUNITY? – TALK ABOUT BANK BRANCHES</w:t>
      </w:r>
      <w:r w:rsidR="001B044A" w:rsidRPr="002270B0">
        <w:rPr>
          <w:b/>
          <w:sz w:val="24"/>
          <w:szCs w:val="24"/>
          <w:highlight w:val="yellow"/>
        </w:rPr>
        <w:t>/PRODUCTS</w:t>
      </w:r>
      <w:r w:rsidR="0034661E" w:rsidRPr="002270B0">
        <w:rPr>
          <w:b/>
          <w:sz w:val="24"/>
          <w:szCs w:val="24"/>
          <w:highlight w:val="yellow"/>
        </w:rPr>
        <w:t xml:space="preserve">, AFFORDABLE LOANS, SUPPORT FOR </w:t>
      </w:r>
      <w:r w:rsidR="000A4E29" w:rsidRPr="002270B0">
        <w:rPr>
          <w:b/>
          <w:sz w:val="24"/>
          <w:szCs w:val="24"/>
          <w:highlight w:val="yellow"/>
        </w:rPr>
        <w:t>LOCAL</w:t>
      </w:r>
      <w:r w:rsidR="00205CD7" w:rsidRPr="002270B0">
        <w:rPr>
          <w:b/>
          <w:sz w:val="24"/>
          <w:szCs w:val="24"/>
          <w:highlight w:val="yellow"/>
        </w:rPr>
        <w:t xml:space="preserve"> ORGANIZATIONS</w:t>
      </w:r>
      <w:r w:rsidR="000A4E29" w:rsidRPr="002270B0">
        <w:rPr>
          <w:b/>
          <w:sz w:val="24"/>
          <w:szCs w:val="24"/>
          <w:highlight w:val="yellow"/>
        </w:rPr>
        <w:t>’</w:t>
      </w:r>
      <w:r w:rsidR="00205CD7" w:rsidRPr="002270B0">
        <w:rPr>
          <w:b/>
          <w:sz w:val="24"/>
          <w:szCs w:val="24"/>
          <w:highlight w:val="yellow"/>
        </w:rPr>
        <w:t xml:space="preserve"> MISSION</w:t>
      </w:r>
      <w:r w:rsidR="000A4E29" w:rsidRPr="002270B0">
        <w:rPr>
          <w:b/>
          <w:sz w:val="24"/>
          <w:szCs w:val="24"/>
          <w:highlight w:val="yellow"/>
        </w:rPr>
        <w:t>S,</w:t>
      </w:r>
      <w:r w:rsidR="00205CD7" w:rsidRPr="002270B0">
        <w:rPr>
          <w:b/>
          <w:sz w:val="24"/>
          <w:szCs w:val="24"/>
          <w:highlight w:val="yellow"/>
        </w:rPr>
        <w:t xml:space="preserve"> </w:t>
      </w:r>
      <w:r w:rsidR="002270B0">
        <w:rPr>
          <w:b/>
          <w:sz w:val="24"/>
          <w:szCs w:val="24"/>
          <w:highlight w:val="yellow"/>
        </w:rPr>
        <w:t xml:space="preserve">FINANCING PROJECTS, PARTNERSHIPS, LOANS/INVESTMENTS, </w:t>
      </w:r>
      <w:r w:rsidR="00205CD7" w:rsidRPr="002270B0">
        <w:rPr>
          <w:b/>
          <w:sz w:val="24"/>
          <w:szCs w:val="24"/>
          <w:highlight w:val="yellow"/>
        </w:rPr>
        <w:t>ETC</w:t>
      </w:r>
      <w:r w:rsidR="000923EB" w:rsidRPr="002270B0">
        <w:rPr>
          <w:b/>
          <w:sz w:val="24"/>
          <w:szCs w:val="24"/>
          <w:highlight w:val="yellow"/>
        </w:rPr>
        <w:t xml:space="preserve">.  ANY POSITIVE </w:t>
      </w:r>
      <w:r w:rsidR="000A4E29" w:rsidRPr="002270B0">
        <w:rPr>
          <w:b/>
          <w:sz w:val="24"/>
          <w:szCs w:val="24"/>
          <w:highlight w:val="yellow"/>
        </w:rPr>
        <w:t>BANK</w:t>
      </w:r>
      <w:r w:rsidR="000923EB" w:rsidRPr="002270B0">
        <w:rPr>
          <w:b/>
          <w:sz w:val="24"/>
          <w:szCs w:val="24"/>
          <w:highlight w:val="yellow"/>
        </w:rPr>
        <w:t xml:space="preserve"> EXAMPLES YOU HAVE</w:t>
      </w:r>
      <w:r w:rsidR="002761A8">
        <w:rPr>
          <w:b/>
          <w:sz w:val="24"/>
          <w:szCs w:val="24"/>
          <w:highlight w:val="yellow"/>
        </w:rPr>
        <w:t xml:space="preserve"> – AND / OR AREAS WHERE THE CRA HAS WORKED</w:t>
      </w:r>
      <w:r w:rsidR="000A4E29" w:rsidRPr="002270B0">
        <w:rPr>
          <w:b/>
          <w:sz w:val="24"/>
          <w:szCs w:val="24"/>
          <w:highlight w:val="yellow"/>
        </w:rPr>
        <w:t xml:space="preserve"> – TA’S CAN TALK ABOUT WAYS BANKS HAVE BEEN HELPFUL IN INFLUENCING THEIR LANDLORDS</w:t>
      </w:r>
      <w:r w:rsidR="000923EB">
        <w:rPr>
          <w:b/>
          <w:sz w:val="24"/>
          <w:szCs w:val="24"/>
        </w:rPr>
        <w:t>]</w:t>
      </w:r>
    </w:p>
    <w:p w14:paraId="53AD5659" w14:textId="77777777" w:rsidR="00FC2948" w:rsidRPr="00D575A2" w:rsidRDefault="00FC2948" w:rsidP="00FC2948">
      <w:pPr>
        <w:jc w:val="center"/>
        <w:rPr>
          <w:b/>
          <w:sz w:val="24"/>
          <w:szCs w:val="24"/>
        </w:rPr>
      </w:pPr>
    </w:p>
    <w:p w14:paraId="3BD66D6C" w14:textId="2C1E8F56" w:rsidR="00E8140B" w:rsidRPr="00E8140B" w:rsidRDefault="00E176B3" w:rsidP="004579AD">
      <w:pPr>
        <w:rPr>
          <w:b/>
          <w:sz w:val="24"/>
          <w:szCs w:val="24"/>
        </w:rPr>
      </w:pPr>
      <w:r w:rsidRPr="00D575A2">
        <w:rPr>
          <w:sz w:val="24"/>
          <w:szCs w:val="24"/>
        </w:rPr>
        <w:t xml:space="preserve">But, for </w:t>
      </w:r>
      <w:proofErr w:type="gramStart"/>
      <w:r w:rsidRPr="00D575A2">
        <w:rPr>
          <w:sz w:val="24"/>
          <w:szCs w:val="24"/>
        </w:rPr>
        <w:t>all of</w:t>
      </w:r>
      <w:proofErr w:type="gramEnd"/>
      <w:r w:rsidRPr="00D575A2">
        <w:rPr>
          <w:sz w:val="24"/>
          <w:szCs w:val="24"/>
        </w:rPr>
        <w:t xml:space="preserve"> its benefits, inequities persist. Too many low-income</w:t>
      </w:r>
      <w:r w:rsidR="00205CD7">
        <w:rPr>
          <w:sz w:val="24"/>
          <w:szCs w:val="24"/>
        </w:rPr>
        <w:t xml:space="preserve"> people</w:t>
      </w:r>
      <w:r w:rsidRPr="00D575A2">
        <w:rPr>
          <w:sz w:val="24"/>
          <w:szCs w:val="24"/>
        </w:rPr>
        <w:t>, immigrant</w:t>
      </w:r>
      <w:r w:rsidR="00205CD7">
        <w:rPr>
          <w:sz w:val="24"/>
          <w:szCs w:val="24"/>
        </w:rPr>
        <w:t>s</w:t>
      </w:r>
      <w:r w:rsidRPr="00D575A2">
        <w:rPr>
          <w:sz w:val="24"/>
          <w:szCs w:val="24"/>
        </w:rPr>
        <w:t xml:space="preserve">, and </w:t>
      </w:r>
      <w:r w:rsidR="00205CD7">
        <w:rPr>
          <w:sz w:val="24"/>
          <w:szCs w:val="24"/>
        </w:rPr>
        <w:t xml:space="preserve">people of color in </w:t>
      </w:r>
      <w:r w:rsidRPr="00D575A2">
        <w:rPr>
          <w:sz w:val="24"/>
          <w:szCs w:val="24"/>
        </w:rPr>
        <w:t>New York</w:t>
      </w:r>
      <w:r w:rsidR="00205CD7">
        <w:rPr>
          <w:sz w:val="24"/>
          <w:szCs w:val="24"/>
        </w:rPr>
        <w:t xml:space="preserve"> City</w:t>
      </w:r>
      <w:r w:rsidRPr="00D575A2">
        <w:rPr>
          <w:sz w:val="24"/>
          <w:szCs w:val="24"/>
        </w:rPr>
        <w:t xml:space="preserve"> still </w:t>
      </w:r>
      <w:hyperlink r:id="rId10" w:history="1">
        <w:r w:rsidRPr="007E003A">
          <w:rPr>
            <w:rStyle w:val="Hyperlink"/>
            <w:sz w:val="24"/>
            <w:szCs w:val="24"/>
          </w:rPr>
          <w:t>lack sufficient access to loans to purchase homes</w:t>
        </w:r>
      </w:hyperlink>
      <w:r w:rsidRPr="00D575A2">
        <w:rPr>
          <w:sz w:val="24"/>
          <w:szCs w:val="24"/>
        </w:rPr>
        <w:t>, improve their homes, and start and maintain businesses</w:t>
      </w:r>
      <w:r w:rsidRPr="001B044A">
        <w:rPr>
          <w:b/>
          <w:bCs/>
          <w:sz w:val="24"/>
          <w:szCs w:val="24"/>
        </w:rPr>
        <w:t>.</w:t>
      </w:r>
      <w:r w:rsidR="001B044A">
        <w:rPr>
          <w:sz w:val="24"/>
          <w:szCs w:val="24"/>
        </w:rPr>
        <w:t xml:space="preserve">  </w:t>
      </w:r>
      <w:r w:rsidR="00504205">
        <w:rPr>
          <w:sz w:val="24"/>
          <w:szCs w:val="24"/>
        </w:rPr>
        <w:t>Smaller nonprofits struggle to access grants and loans</w:t>
      </w:r>
      <w:r w:rsidR="00352075">
        <w:rPr>
          <w:sz w:val="24"/>
          <w:szCs w:val="24"/>
        </w:rPr>
        <w:t xml:space="preserve"> to build and preserve affordable </w:t>
      </w:r>
      <w:r w:rsidR="00505DBB">
        <w:rPr>
          <w:sz w:val="24"/>
          <w:szCs w:val="24"/>
        </w:rPr>
        <w:t xml:space="preserve">much-needed deep and permanent affordable </w:t>
      </w:r>
      <w:r w:rsidR="00352075">
        <w:rPr>
          <w:sz w:val="24"/>
          <w:szCs w:val="24"/>
        </w:rPr>
        <w:t>housing and support community development</w:t>
      </w:r>
      <w:r w:rsidR="00504205">
        <w:rPr>
          <w:sz w:val="24"/>
          <w:szCs w:val="24"/>
        </w:rPr>
        <w:t xml:space="preserve">. </w:t>
      </w:r>
      <w:r w:rsidR="00205CD7" w:rsidRPr="00205CD7">
        <w:rPr>
          <w:b/>
          <w:bCs/>
          <w:sz w:val="24"/>
          <w:szCs w:val="24"/>
        </w:rPr>
        <w:t xml:space="preserve">15% of Black households and 18% of Hispanic households </w:t>
      </w:r>
      <w:r w:rsidR="00205CD7">
        <w:rPr>
          <w:b/>
          <w:bCs/>
          <w:sz w:val="24"/>
          <w:szCs w:val="24"/>
        </w:rPr>
        <w:t xml:space="preserve">in the NY region </w:t>
      </w:r>
      <w:r w:rsidR="00205CD7" w:rsidRPr="00205CD7">
        <w:rPr>
          <w:b/>
          <w:bCs/>
          <w:sz w:val="24"/>
          <w:szCs w:val="24"/>
        </w:rPr>
        <w:t>are completely unbanked, which is over 5 times the rate of white households</w:t>
      </w:r>
      <w:r w:rsidR="00205CD7">
        <w:rPr>
          <w:sz w:val="24"/>
          <w:szCs w:val="24"/>
        </w:rPr>
        <w:t xml:space="preserve">.  </w:t>
      </w:r>
      <w:r w:rsidR="00352075">
        <w:rPr>
          <w:sz w:val="24"/>
          <w:szCs w:val="24"/>
        </w:rPr>
        <w:t>Meanwhile,</w:t>
      </w:r>
      <w:r w:rsidRPr="00D575A2">
        <w:rPr>
          <w:sz w:val="24"/>
          <w:szCs w:val="24"/>
        </w:rPr>
        <w:t xml:space="preserve"> many</w:t>
      </w:r>
      <w:r w:rsidR="00352075">
        <w:rPr>
          <w:sz w:val="24"/>
          <w:szCs w:val="24"/>
        </w:rPr>
        <w:t xml:space="preserve"> low-income</w:t>
      </w:r>
      <w:r w:rsidRPr="00D575A2">
        <w:rPr>
          <w:sz w:val="24"/>
          <w:szCs w:val="24"/>
        </w:rPr>
        <w:t xml:space="preserve"> </w:t>
      </w:r>
      <w:r w:rsidR="00D575A2">
        <w:rPr>
          <w:sz w:val="24"/>
          <w:szCs w:val="24"/>
        </w:rPr>
        <w:t>tenants</w:t>
      </w:r>
      <w:r w:rsidR="00352075">
        <w:rPr>
          <w:sz w:val="24"/>
          <w:szCs w:val="24"/>
        </w:rPr>
        <w:t xml:space="preserve"> and tenants of color</w:t>
      </w:r>
      <w:r w:rsidR="00D575A2">
        <w:rPr>
          <w:sz w:val="24"/>
          <w:szCs w:val="24"/>
        </w:rPr>
        <w:t xml:space="preserve"> </w:t>
      </w:r>
      <w:r w:rsidRPr="00D575A2">
        <w:rPr>
          <w:sz w:val="24"/>
          <w:szCs w:val="24"/>
        </w:rPr>
        <w:t xml:space="preserve">are being harassed and displaced when banks lend to unscrupulous landlords.   </w:t>
      </w:r>
      <w:r w:rsidR="00FC2948">
        <w:rPr>
          <w:sz w:val="24"/>
          <w:szCs w:val="24"/>
        </w:rPr>
        <w:t xml:space="preserve"> </w:t>
      </w:r>
      <w:r w:rsidR="00E8140B" w:rsidRPr="00E8140B">
        <w:rPr>
          <w:b/>
          <w:sz w:val="24"/>
          <w:szCs w:val="24"/>
          <w:highlight w:val="yellow"/>
        </w:rPr>
        <w:t>[</w:t>
      </w:r>
      <w:r w:rsidR="001B044A">
        <w:rPr>
          <w:b/>
          <w:sz w:val="24"/>
          <w:szCs w:val="24"/>
          <w:highlight w:val="yellow"/>
        </w:rPr>
        <w:t>WRITE ABOUT CHALLENGES YOU SEE IN YOUR COMMUNITY</w:t>
      </w:r>
      <w:r w:rsidR="002270B0">
        <w:rPr>
          <w:b/>
          <w:sz w:val="24"/>
          <w:szCs w:val="24"/>
          <w:highlight w:val="yellow"/>
        </w:rPr>
        <w:t xml:space="preserve"> OR ORGANIZATION</w:t>
      </w:r>
      <w:r w:rsidR="001B044A">
        <w:rPr>
          <w:b/>
          <w:sz w:val="24"/>
          <w:szCs w:val="24"/>
          <w:highlight w:val="yellow"/>
        </w:rPr>
        <w:t xml:space="preserve"> </w:t>
      </w:r>
      <w:r w:rsidR="000923EB" w:rsidRPr="009C3E06">
        <w:rPr>
          <w:b/>
          <w:sz w:val="24"/>
          <w:szCs w:val="24"/>
          <w:highlight w:val="yellow"/>
        </w:rPr>
        <w:t xml:space="preserve">– NOT ENOUGH BANK BRANCHES, RACIAL </w:t>
      </w:r>
      <w:r w:rsidR="000923EB" w:rsidRPr="009C3E06">
        <w:rPr>
          <w:b/>
          <w:sz w:val="24"/>
          <w:szCs w:val="24"/>
          <w:highlight w:val="yellow"/>
        </w:rPr>
        <w:lastRenderedPageBreak/>
        <w:t xml:space="preserve">DISPARITIES, HARD TO GET A LOAN, HARD FOR </w:t>
      </w:r>
      <w:r w:rsidR="000A4E29" w:rsidRPr="009C3E06">
        <w:rPr>
          <w:b/>
          <w:sz w:val="24"/>
          <w:szCs w:val="24"/>
          <w:highlight w:val="yellow"/>
        </w:rPr>
        <w:t>LOCAL</w:t>
      </w:r>
      <w:r w:rsidR="000923EB" w:rsidRPr="009C3E06">
        <w:rPr>
          <w:b/>
          <w:sz w:val="24"/>
          <w:szCs w:val="24"/>
          <w:highlight w:val="yellow"/>
        </w:rPr>
        <w:t xml:space="preserve"> ORG</w:t>
      </w:r>
      <w:r w:rsidR="000A4E29" w:rsidRPr="009C3E06">
        <w:rPr>
          <w:b/>
          <w:sz w:val="24"/>
          <w:szCs w:val="24"/>
          <w:highlight w:val="yellow"/>
        </w:rPr>
        <w:t>S</w:t>
      </w:r>
      <w:r w:rsidR="000923EB" w:rsidRPr="009C3E06">
        <w:rPr>
          <w:b/>
          <w:sz w:val="24"/>
          <w:szCs w:val="24"/>
          <w:highlight w:val="yellow"/>
        </w:rPr>
        <w:t xml:space="preserve"> TO GET GRANTS OR FINANCING FOR PROJECTS, ETC</w:t>
      </w:r>
      <w:r w:rsidR="001B044A" w:rsidRPr="009C3E06">
        <w:rPr>
          <w:b/>
          <w:sz w:val="24"/>
          <w:szCs w:val="24"/>
          <w:highlight w:val="yellow"/>
        </w:rPr>
        <w:t xml:space="preserve"> – ANY STORIES ABOUT BANKS LENDING TO BAD-ACTING/PREDATORY EQUITY LANDLORDS</w:t>
      </w:r>
      <w:r w:rsidR="000A4E29" w:rsidRPr="009C3E06">
        <w:rPr>
          <w:b/>
          <w:sz w:val="24"/>
          <w:szCs w:val="24"/>
          <w:highlight w:val="yellow"/>
        </w:rPr>
        <w:t xml:space="preserve"> AND NOT RESPONDING TO MAKE IT BETTER WHEN THEY DO</w:t>
      </w:r>
      <w:r w:rsidR="00B96B1C" w:rsidRPr="009C3E06">
        <w:rPr>
          <w:b/>
          <w:sz w:val="24"/>
          <w:szCs w:val="24"/>
          <w:highlight w:val="yellow"/>
        </w:rPr>
        <w:t>]</w:t>
      </w:r>
    </w:p>
    <w:p w14:paraId="275E3604" w14:textId="77777777" w:rsidR="00505DBB" w:rsidRDefault="00505DBB">
      <w:pPr>
        <w:rPr>
          <w:sz w:val="24"/>
          <w:szCs w:val="24"/>
        </w:rPr>
      </w:pPr>
    </w:p>
    <w:p w14:paraId="609B6683" w14:textId="2B6D9E4A" w:rsidR="002379EB" w:rsidRDefault="00F73574">
      <w:pPr>
        <w:rPr>
          <w:rFonts w:eastAsia="Times New Roman" w:cs="Times New Roman"/>
          <w:iCs/>
          <w:sz w:val="24"/>
          <w:szCs w:val="24"/>
        </w:rPr>
      </w:pPr>
      <w:r>
        <w:rPr>
          <w:sz w:val="24"/>
          <w:szCs w:val="24"/>
        </w:rPr>
        <w:t xml:space="preserve">All of this underscores the need to </w:t>
      </w:r>
      <w:r w:rsidRPr="00F73574">
        <w:rPr>
          <w:sz w:val="24"/>
          <w:szCs w:val="24"/>
          <w:u w:val="single"/>
        </w:rPr>
        <w:t>preserve and strengthen</w:t>
      </w:r>
      <w:r>
        <w:rPr>
          <w:sz w:val="24"/>
          <w:szCs w:val="24"/>
        </w:rPr>
        <w:t xml:space="preserve"> the CRA, making sure that </w:t>
      </w:r>
      <w:r w:rsidR="00EB7B77" w:rsidRPr="00D575A2">
        <w:rPr>
          <w:rFonts w:eastAsia="Times New Roman" w:cs="Times New Roman"/>
          <w:iCs/>
          <w:sz w:val="24"/>
          <w:szCs w:val="24"/>
        </w:rPr>
        <w:t xml:space="preserve">the </w:t>
      </w:r>
      <w:r w:rsidR="00E10F78">
        <w:rPr>
          <w:rFonts w:eastAsia="Times New Roman" w:cs="Times New Roman"/>
          <w:iCs/>
          <w:sz w:val="24"/>
          <w:szCs w:val="24"/>
        </w:rPr>
        <w:t>right priorities are reflected</w:t>
      </w:r>
      <w:r w:rsidR="00EB7B77" w:rsidRPr="00D575A2">
        <w:rPr>
          <w:rFonts w:eastAsia="Times New Roman" w:cs="Times New Roman"/>
          <w:iCs/>
          <w:sz w:val="24"/>
          <w:szCs w:val="24"/>
        </w:rPr>
        <w:t>.  In that context, we have deep concerns about some of th</w:t>
      </w:r>
      <w:r w:rsidR="00D575A2">
        <w:rPr>
          <w:rFonts w:eastAsia="Times New Roman" w:cs="Times New Roman"/>
          <w:iCs/>
          <w:sz w:val="24"/>
          <w:szCs w:val="24"/>
        </w:rPr>
        <w:t xml:space="preserve">e </w:t>
      </w:r>
      <w:r w:rsidR="00B11583">
        <w:rPr>
          <w:rFonts w:eastAsia="Times New Roman" w:cs="Times New Roman"/>
          <w:iCs/>
          <w:sz w:val="24"/>
          <w:szCs w:val="24"/>
        </w:rPr>
        <w:t>proposal</w:t>
      </w:r>
      <w:r w:rsidR="00E10F78">
        <w:rPr>
          <w:rFonts w:eastAsia="Times New Roman" w:cs="Times New Roman"/>
          <w:iCs/>
          <w:sz w:val="24"/>
          <w:szCs w:val="24"/>
        </w:rPr>
        <w:t>:</w:t>
      </w:r>
    </w:p>
    <w:p w14:paraId="2EE4ABDB" w14:textId="77777777" w:rsidR="00505DBB" w:rsidRDefault="00505DBB">
      <w:pPr>
        <w:rPr>
          <w:rFonts w:eastAsia="Times New Roman" w:cs="Times New Roman"/>
          <w:iCs/>
          <w:sz w:val="24"/>
          <w:szCs w:val="24"/>
          <w:highlight w:val="yellow"/>
        </w:rPr>
      </w:pPr>
    </w:p>
    <w:p w14:paraId="1FC746F3" w14:textId="644B1154" w:rsidR="009C3E06" w:rsidRDefault="009C3E06">
      <w:pPr>
        <w:rPr>
          <w:rFonts w:eastAsia="Times New Roman" w:cs="Times New Roman"/>
          <w:iCs/>
          <w:sz w:val="24"/>
          <w:szCs w:val="24"/>
        </w:rPr>
      </w:pPr>
      <w:r w:rsidRPr="009C3E06">
        <w:rPr>
          <w:rFonts w:eastAsia="Times New Roman" w:cs="Times New Roman"/>
          <w:iCs/>
          <w:sz w:val="24"/>
          <w:szCs w:val="24"/>
          <w:highlight w:val="yellow"/>
        </w:rPr>
        <w:t>[</w:t>
      </w:r>
      <w:r w:rsidR="002761A8" w:rsidRPr="002761A8">
        <w:rPr>
          <w:rFonts w:eastAsia="Times New Roman" w:cs="Times New Roman"/>
          <w:b/>
          <w:bCs/>
          <w:iCs/>
          <w:sz w:val="24"/>
          <w:szCs w:val="24"/>
          <w:highlight w:val="yellow"/>
        </w:rPr>
        <w:t>WE INVITE YOU TO</w:t>
      </w:r>
      <w:r w:rsidRPr="002761A8">
        <w:rPr>
          <w:rFonts w:eastAsia="Times New Roman" w:cs="Times New Roman"/>
          <w:b/>
          <w:bCs/>
          <w:iCs/>
          <w:sz w:val="24"/>
          <w:szCs w:val="24"/>
          <w:highlight w:val="yellow"/>
        </w:rPr>
        <w:t xml:space="preserve"> ADD ANY DETAILS ON AREAS IMPORTANT TO YOU</w:t>
      </w:r>
      <w:r w:rsidRPr="009C3E06">
        <w:rPr>
          <w:rFonts w:eastAsia="Times New Roman" w:cs="Times New Roman"/>
          <w:iCs/>
          <w:sz w:val="24"/>
          <w:szCs w:val="24"/>
          <w:highlight w:val="yellow"/>
        </w:rPr>
        <w:t>]</w:t>
      </w:r>
    </w:p>
    <w:p w14:paraId="6B99179B" w14:textId="77777777" w:rsidR="00A26FC5" w:rsidRDefault="00A26FC5">
      <w:pPr>
        <w:rPr>
          <w:rFonts w:eastAsia="Times New Roman" w:cs="Times New Roman"/>
          <w:iCs/>
          <w:sz w:val="24"/>
          <w:szCs w:val="24"/>
        </w:rPr>
      </w:pPr>
    </w:p>
    <w:p w14:paraId="6D0AE86B" w14:textId="4C20A93D" w:rsidR="008F1B99" w:rsidRPr="008F1B99" w:rsidRDefault="008F1B99" w:rsidP="008F1B99">
      <w:pPr>
        <w:rPr>
          <w:rFonts w:eastAsia="Times New Roman" w:cstheme="minorHAnsi"/>
          <w:b/>
          <w:bCs/>
          <w:i/>
          <w:iCs/>
          <w:sz w:val="28"/>
          <w:szCs w:val="28"/>
        </w:rPr>
      </w:pPr>
      <w:r w:rsidRPr="008F1B99">
        <w:rPr>
          <w:rFonts w:eastAsia="Times New Roman" w:cstheme="minorHAnsi"/>
          <w:b/>
          <w:bCs/>
          <w:i/>
          <w:iCs/>
          <w:sz w:val="28"/>
          <w:szCs w:val="28"/>
        </w:rPr>
        <w:t xml:space="preserve">We Oppose the One-Ratio Approach </w:t>
      </w:r>
    </w:p>
    <w:p w14:paraId="2D395EEB" w14:textId="77777777" w:rsidR="008F1B99" w:rsidRDefault="008F1B99" w:rsidP="008F1B99">
      <w:pPr>
        <w:rPr>
          <w:rFonts w:eastAsia="Times New Roman" w:cstheme="minorHAnsi"/>
          <w:b/>
          <w:bCs/>
          <w:sz w:val="24"/>
          <w:szCs w:val="24"/>
        </w:rPr>
      </w:pPr>
    </w:p>
    <w:p w14:paraId="2164E6C2" w14:textId="1C09561D" w:rsidR="004B7084" w:rsidRDefault="00E10F78" w:rsidP="008F1B99">
      <w:pPr>
        <w:rPr>
          <w:rFonts w:eastAsia="Times New Roman" w:cstheme="minorHAnsi"/>
          <w:sz w:val="24"/>
          <w:szCs w:val="24"/>
        </w:rPr>
      </w:pPr>
      <w:r w:rsidRPr="004B7084">
        <w:rPr>
          <w:rFonts w:eastAsia="Times New Roman" w:cstheme="minorHAnsi"/>
          <w:b/>
          <w:bCs/>
          <w:sz w:val="24"/>
          <w:szCs w:val="24"/>
        </w:rPr>
        <w:t xml:space="preserve">The proposal </w:t>
      </w:r>
      <w:r w:rsidR="00A26FC5" w:rsidRPr="004B7084">
        <w:rPr>
          <w:rFonts w:eastAsia="Times New Roman" w:cstheme="minorHAnsi"/>
          <w:b/>
          <w:bCs/>
          <w:sz w:val="24"/>
          <w:szCs w:val="24"/>
        </w:rPr>
        <w:t xml:space="preserve">maintains a one-ratio approach, despite hundreds of comments opposing it during the ANPR comment period.  </w:t>
      </w:r>
      <w:proofErr w:type="gramStart"/>
      <w:r w:rsidR="00A26FC5" w:rsidRPr="004B7084">
        <w:rPr>
          <w:rFonts w:eastAsia="Times New Roman" w:cstheme="minorHAnsi"/>
          <w:b/>
          <w:bCs/>
          <w:sz w:val="24"/>
          <w:szCs w:val="24"/>
        </w:rPr>
        <w:t>It</w:t>
      </w:r>
      <w:proofErr w:type="gramEnd"/>
      <w:r w:rsidR="00A26FC5" w:rsidRPr="004B7084">
        <w:rPr>
          <w:rFonts w:eastAsia="Times New Roman" w:cstheme="minorHAnsi"/>
          <w:b/>
          <w:bCs/>
          <w:sz w:val="24"/>
          <w:szCs w:val="24"/>
        </w:rPr>
        <w:t xml:space="preserve"> </w:t>
      </w:r>
      <w:r w:rsidRPr="004B7084">
        <w:rPr>
          <w:rFonts w:eastAsia="Times New Roman" w:cstheme="minorHAnsi"/>
          <w:b/>
          <w:bCs/>
          <w:sz w:val="24"/>
          <w:szCs w:val="24"/>
        </w:rPr>
        <w:t>values dollars over impact, quantity over quality, thus incentivizing larger deals over smaller, more impactful ones</w:t>
      </w:r>
      <w:r w:rsidRPr="004B7084">
        <w:rPr>
          <w:rFonts w:eastAsia="Times New Roman" w:cstheme="minorHAnsi"/>
          <w:sz w:val="24"/>
          <w:szCs w:val="24"/>
        </w:rPr>
        <w:t>.</w:t>
      </w:r>
      <w:r w:rsidR="004B7084">
        <w:rPr>
          <w:rFonts w:eastAsia="Times New Roman" w:cstheme="minorHAnsi"/>
          <w:sz w:val="24"/>
          <w:szCs w:val="24"/>
        </w:rPr>
        <w:t xml:space="preserve"> This means fewer loans to first-time homebuyers, low-income homeowners, and small businesses; fewer financing options for smaller nonprofits to build and preserve deep affordable housing; fewer grants to nonprofits for tenant organizing or direct services.</w:t>
      </w:r>
    </w:p>
    <w:p w14:paraId="4960F3E4" w14:textId="77777777" w:rsidR="004B7084" w:rsidRDefault="004B7084" w:rsidP="004B7084">
      <w:pPr>
        <w:ind w:left="720"/>
        <w:rPr>
          <w:rFonts w:eastAsia="Times New Roman" w:cstheme="minorHAnsi"/>
          <w:sz w:val="24"/>
          <w:szCs w:val="24"/>
        </w:rPr>
      </w:pPr>
    </w:p>
    <w:p w14:paraId="569B058C" w14:textId="228ECB4A" w:rsidR="00E10F78" w:rsidRPr="004B7084" w:rsidRDefault="00E10F78" w:rsidP="008F1B99">
      <w:pPr>
        <w:rPr>
          <w:rFonts w:eastAsia="Times New Roman" w:cstheme="minorHAnsi"/>
          <w:sz w:val="24"/>
          <w:szCs w:val="24"/>
        </w:rPr>
      </w:pPr>
      <w:r w:rsidRPr="004B7084">
        <w:rPr>
          <w:rFonts w:eastAsia="Times New Roman" w:cstheme="minorHAnsi"/>
          <w:sz w:val="24"/>
          <w:szCs w:val="24"/>
        </w:rPr>
        <w:t>It creates arbitrary target goals before ever considering community needs.</w:t>
      </w:r>
      <w:r w:rsidR="00A26FC5" w:rsidRPr="004B7084">
        <w:rPr>
          <w:rFonts w:eastAsia="Times New Roman" w:cstheme="minorHAnsi"/>
          <w:sz w:val="24"/>
          <w:szCs w:val="24"/>
        </w:rPr>
        <w:t xml:space="preserve"> </w:t>
      </w:r>
      <w:r w:rsidR="002761A8" w:rsidRPr="004B7084">
        <w:rPr>
          <w:rFonts w:eastAsia="Times New Roman" w:cstheme="minorHAnsi"/>
          <w:sz w:val="24"/>
          <w:szCs w:val="24"/>
        </w:rPr>
        <w:t xml:space="preserve"> </w:t>
      </w:r>
      <w:r w:rsidR="00833150">
        <w:rPr>
          <w:rFonts w:eastAsia="Times New Roman" w:cstheme="minorHAnsi"/>
          <w:sz w:val="24"/>
          <w:szCs w:val="24"/>
        </w:rPr>
        <w:t>Further, u</w:t>
      </w:r>
      <w:r w:rsidR="00A26FC5" w:rsidRPr="004B7084">
        <w:rPr>
          <w:rFonts w:eastAsia="Times New Roman" w:cstheme="minorHAnsi"/>
          <w:sz w:val="24"/>
          <w:szCs w:val="24"/>
        </w:rPr>
        <w:t xml:space="preserve">nder this </w:t>
      </w:r>
      <w:r w:rsidR="002761A8" w:rsidRPr="004B7084">
        <w:rPr>
          <w:rFonts w:eastAsia="Times New Roman" w:cstheme="minorHAnsi"/>
          <w:sz w:val="24"/>
          <w:szCs w:val="24"/>
        </w:rPr>
        <w:t xml:space="preserve">new </w:t>
      </w:r>
      <w:r w:rsidR="00A26FC5" w:rsidRPr="004B7084">
        <w:rPr>
          <w:rFonts w:eastAsia="Times New Roman" w:cstheme="minorHAnsi"/>
          <w:sz w:val="24"/>
          <w:szCs w:val="24"/>
        </w:rPr>
        <w:t>approach, banks can do high volumes of investment in some areas, while excluding others</w:t>
      </w:r>
      <w:r w:rsidR="007F13EA" w:rsidRPr="004B7084">
        <w:rPr>
          <w:rFonts w:eastAsia="Times New Roman" w:cstheme="minorHAnsi"/>
          <w:sz w:val="24"/>
          <w:szCs w:val="24"/>
        </w:rPr>
        <w:t xml:space="preserve"> entirely</w:t>
      </w:r>
      <w:r w:rsidR="00A26FC5" w:rsidRPr="004B7084">
        <w:rPr>
          <w:rFonts w:eastAsia="Times New Roman" w:cstheme="minorHAnsi"/>
          <w:sz w:val="24"/>
          <w:szCs w:val="24"/>
        </w:rPr>
        <w:t xml:space="preserve">. </w:t>
      </w:r>
      <w:r w:rsidR="002761A8" w:rsidRPr="004B7084">
        <w:rPr>
          <w:rFonts w:eastAsia="Times New Roman" w:cstheme="minorHAnsi"/>
          <w:sz w:val="24"/>
          <w:szCs w:val="24"/>
        </w:rPr>
        <w:t xml:space="preserve"> </w:t>
      </w:r>
      <w:r w:rsidR="00A26FC5" w:rsidRPr="004B7084">
        <w:rPr>
          <w:rFonts w:eastAsia="Times New Roman" w:cstheme="minorHAnsi"/>
          <w:b/>
          <w:bCs/>
          <w:sz w:val="24"/>
          <w:szCs w:val="24"/>
        </w:rPr>
        <w:t>In fact, a bank could fail 50% of its assessment areas and still pass its exam with a satisfactory or outstanding</w:t>
      </w:r>
      <w:r w:rsidR="00A26FC5" w:rsidRPr="004B7084">
        <w:rPr>
          <w:rFonts w:eastAsia="Times New Roman" w:cstheme="minorHAnsi"/>
          <w:sz w:val="24"/>
          <w:szCs w:val="24"/>
        </w:rPr>
        <w:t xml:space="preserve">!  </w:t>
      </w:r>
    </w:p>
    <w:p w14:paraId="4ED3DD88" w14:textId="27F0022F" w:rsidR="00F122C3" w:rsidRDefault="00F122C3" w:rsidP="00F122C3">
      <w:pPr>
        <w:ind w:left="720"/>
        <w:rPr>
          <w:rFonts w:eastAsia="Times New Roman" w:cstheme="minorHAnsi"/>
          <w:sz w:val="24"/>
          <w:szCs w:val="24"/>
        </w:rPr>
      </w:pPr>
    </w:p>
    <w:p w14:paraId="0555E112" w14:textId="4BAD8F49" w:rsidR="00A9310D" w:rsidRDefault="003C7608" w:rsidP="008F1B99">
      <w:pPr>
        <w:rPr>
          <w:rFonts w:eastAsia="Times New Roman" w:cstheme="minorHAnsi"/>
          <w:sz w:val="24"/>
          <w:szCs w:val="24"/>
        </w:rPr>
      </w:pPr>
      <w:r>
        <w:rPr>
          <w:rFonts w:eastAsia="Times New Roman" w:cstheme="minorHAnsi"/>
          <w:b/>
          <w:bCs/>
          <w:sz w:val="24"/>
          <w:szCs w:val="24"/>
        </w:rPr>
        <w:t xml:space="preserve">All of this comes at the expense of </w:t>
      </w:r>
      <w:r w:rsidR="00833150">
        <w:rPr>
          <w:rFonts w:eastAsia="Times New Roman" w:cstheme="minorHAnsi"/>
          <w:b/>
          <w:bCs/>
          <w:sz w:val="24"/>
          <w:szCs w:val="24"/>
        </w:rPr>
        <w:t>c</w:t>
      </w:r>
      <w:r>
        <w:rPr>
          <w:rFonts w:eastAsia="Times New Roman" w:cstheme="minorHAnsi"/>
          <w:b/>
          <w:bCs/>
          <w:sz w:val="24"/>
          <w:szCs w:val="24"/>
        </w:rPr>
        <w:t xml:space="preserve">ommunity </w:t>
      </w:r>
      <w:r w:rsidR="00833150">
        <w:rPr>
          <w:rFonts w:eastAsia="Times New Roman" w:cstheme="minorHAnsi"/>
          <w:b/>
          <w:bCs/>
          <w:sz w:val="24"/>
          <w:szCs w:val="24"/>
        </w:rPr>
        <w:t xml:space="preserve">input, community partnerships, </w:t>
      </w:r>
      <w:r>
        <w:rPr>
          <w:rFonts w:eastAsia="Times New Roman" w:cstheme="minorHAnsi"/>
          <w:b/>
          <w:bCs/>
          <w:sz w:val="24"/>
          <w:szCs w:val="24"/>
        </w:rPr>
        <w:t>and any activity that cannot be quantified,</w:t>
      </w:r>
      <w:r>
        <w:rPr>
          <w:rFonts w:eastAsia="Times New Roman" w:cstheme="minorHAnsi"/>
          <w:sz w:val="24"/>
          <w:szCs w:val="24"/>
        </w:rPr>
        <w:t xml:space="preserve"> such as branch openings and closings; hours of operation; and qualities of bank accounts</w:t>
      </w:r>
      <w:r>
        <w:rPr>
          <w:rFonts w:eastAsia="Times New Roman" w:cstheme="minorHAnsi"/>
          <w:b/>
          <w:bCs/>
          <w:sz w:val="24"/>
          <w:szCs w:val="24"/>
        </w:rPr>
        <w:t xml:space="preserve">.  </w:t>
      </w:r>
      <w:r w:rsidRPr="004B7084">
        <w:rPr>
          <w:rFonts w:eastAsia="Times New Roman" w:cstheme="minorHAnsi"/>
          <w:b/>
          <w:bCs/>
          <w:sz w:val="24"/>
          <w:szCs w:val="24"/>
        </w:rPr>
        <w:t>There is</w:t>
      </w:r>
      <w:r w:rsidRPr="003C7608">
        <w:rPr>
          <w:rFonts w:eastAsia="Times New Roman" w:cstheme="minorHAnsi"/>
          <w:sz w:val="24"/>
          <w:szCs w:val="24"/>
        </w:rPr>
        <w:t xml:space="preserve"> </w:t>
      </w:r>
      <w:r w:rsidRPr="003C7608">
        <w:rPr>
          <w:rFonts w:eastAsia="Times New Roman" w:cstheme="minorHAnsi"/>
          <w:b/>
          <w:bCs/>
          <w:sz w:val="24"/>
          <w:szCs w:val="24"/>
        </w:rPr>
        <w:t xml:space="preserve">no meaningful way to incorporate community comments </w:t>
      </w:r>
      <w:r>
        <w:rPr>
          <w:rFonts w:eastAsia="Times New Roman" w:cstheme="minorHAnsi"/>
          <w:sz w:val="24"/>
          <w:szCs w:val="24"/>
        </w:rPr>
        <w:t>on local credit needs or on bank performance; community input comes second to target</w:t>
      </w:r>
      <w:r w:rsidR="004B7084">
        <w:rPr>
          <w:rFonts w:eastAsia="Times New Roman" w:cstheme="minorHAnsi"/>
          <w:sz w:val="24"/>
          <w:szCs w:val="24"/>
        </w:rPr>
        <w:t xml:space="preserve"> dollar goals</w:t>
      </w:r>
      <w:r>
        <w:rPr>
          <w:rFonts w:eastAsia="Times New Roman" w:cstheme="minorHAnsi"/>
          <w:sz w:val="24"/>
          <w:szCs w:val="24"/>
        </w:rPr>
        <w:t xml:space="preserve">.  Similarly, there is no systematic way to </w:t>
      </w:r>
      <w:r w:rsidR="00833150">
        <w:rPr>
          <w:rFonts w:eastAsia="Times New Roman" w:cstheme="minorHAnsi"/>
          <w:sz w:val="24"/>
          <w:szCs w:val="24"/>
        </w:rPr>
        <w:t xml:space="preserve">incentivize high-impact </w:t>
      </w:r>
      <w:r>
        <w:rPr>
          <w:rFonts w:eastAsia="Times New Roman" w:cstheme="minorHAnsi"/>
          <w:sz w:val="24"/>
          <w:szCs w:val="24"/>
        </w:rPr>
        <w:t xml:space="preserve">activities. The proposal removes the systematic analysis of how responsive and innovative a bank’s activities are.   And </w:t>
      </w:r>
      <w:r w:rsidRPr="003C7608">
        <w:rPr>
          <w:rFonts w:eastAsia="Times New Roman" w:cstheme="minorHAnsi"/>
          <w:b/>
          <w:bCs/>
          <w:sz w:val="24"/>
          <w:szCs w:val="24"/>
        </w:rPr>
        <w:t xml:space="preserve">there is still no way to downgrade a bank for harmful activities, </w:t>
      </w:r>
      <w:r>
        <w:rPr>
          <w:rFonts w:eastAsia="Times New Roman" w:cstheme="minorHAnsi"/>
          <w:sz w:val="24"/>
          <w:szCs w:val="24"/>
        </w:rPr>
        <w:t>such as higher cost</w:t>
      </w:r>
      <w:r w:rsidR="00505DBB">
        <w:rPr>
          <w:rFonts w:eastAsia="Times New Roman" w:cstheme="minorHAnsi"/>
          <w:sz w:val="24"/>
          <w:szCs w:val="24"/>
        </w:rPr>
        <w:t xml:space="preserve"> </w:t>
      </w:r>
      <w:r>
        <w:rPr>
          <w:rFonts w:eastAsia="Times New Roman" w:cstheme="minorHAnsi"/>
          <w:sz w:val="24"/>
          <w:szCs w:val="24"/>
        </w:rPr>
        <w:t xml:space="preserve">loans or lending to predatory </w:t>
      </w:r>
      <w:r w:rsidR="00505DBB">
        <w:rPr>
          <w:rFonts w:eastAsia="Times New Roman" w:cstheme="minorHAnsi"/>
          <w:sz w:val="24"/>
          <w:szCs w:val="24"/>
        </w:rPr>
        <w:t xml:space="preserve">bad acting </w:t>
      </w:r>
      <w:r>
        <w:rPr>
          <w:rFonts w:eastAsia="Times New Roman" w:cstheme="minorHAnsi"/>
          <w:sz w:val="24"/>
          <w:szCs w:val="24"/>
        </w:rPr>
        <w:t xml:space="preserve">landlords who harass and displace tenants. </w:t>
      </w:r>
    </w:p>
    <w:p w14:paraId="196E47BA" w14:textId="77777777" w:rsidR="008F1B99" w:rsidRDefault="008F1B99" w:rsidP="008F1B99">
      <w:pPr>
        <w:rPr>
          <w:rFonts w:eastAsia="Times New Roman" w:cstheme="minorHAnsi"/>
          <w:sz w:val="24"/>
          <w:szCs w:val="24"/>
        </w:rPr>
      </w:pPr>
    </w:p>
    <w:p w14:paraId="30030ACF" w14:textId="0CFB22AF" w:rsidR="003C7608" w:rsidRDefault="00A9310D" w:rsidP="008F1B99">
      <w:pPr>
        <w:rPr>
          <w:rFonts w:eastAsia="Times New Roman" w:cstheme="minorHAnsi"/>
          <w:sz w:val="24"/>
          <w:szCs w:val="24"/>
        </w:rPr>
      </w:pPr>
      <w:r w:rsidRPr="003460A9">
        <w:rPr>
          <w:rFonts w:eastAsia="Times New Roman" w:cstheme="minorHAnsi"/>
          <w:sz w:val="24"/>
          <w:szCs w:val="24"/>
        </w:rPr>
        <w:t xml:space="preserve">There is </w:t>
      </w:r>
      <w:r w:rsidR="004B7084" w:rsidRPr="003460A9">
        <w:rPr>
          <w:rFonts w:eastAsia="Times New Roman" w:cstheme="minorHAnsi"/>
          <w:sz w:val="24"/>
          <w:szCs w:val="24"/>
        </w:rPr>
        <w:t xml:space="preserve">less attention to the distribution of retail and small business loans and </w:t>
      </w:r>
      <w:r w:rsidRPr="003460A9">
        <w:rPr>
          <w:rFonts w:eastAsia="Times New Roman" w:cstheme="minorHAnsi"/>
          <w:sz w:val="24"/>
          <w:szCs w:val="24"/>
        </w:rPr>
        <w:t>no mention of race at all.</w:t>
      </w:r>
      <w:r>
        <w:rPr>
          <w:rFonts w:eastAsia="Times New Roman" w:cstheme="minorHAnsi"/>
          <w:sz w:val="24"/>
          <w:szCs w:val="24"/>
        </w:rPr>
        <w:t xml:space="preserve"> </w:t>
      </w:r>
      <w:r w:rsidRPr="003460A9">
        <w:rPr>
          <w:rFonts w:eastAsia="Times New Roman" w:cstheme="minorHAnsi"/>
          <w:b/>
          <w:bCs/>
          <w:sz w:val="24"/>
          <w:szCs w:val="24"/>
        </w:rPr>
        <w:t>There are no ideas proposed to increase access to banks and banking for people of color, no ideas to minimize displacement among these populations, and no attempt to strengthen the fair lending portion of CRA exams.</w:t>
      </w:r>
      <w:r w:rsidRPr="004B7084">
        <w:rPr>
          <w:rFonts w:eastAsia="Times New Roman" w:cstheme="minorHAnsi"/>
          <w:sz w:val="24"/>
          <w:szCs w:val="24"/>
        </w:rPr>
        <w:t xml:space="preserve"> </w:t>
      </w:r>
      <w:r>
        <w:rPr>
          <w:rFonts w:eastAsia="Times New Roman" w:cstheme="minorHAnsi"/>
          <w:sz w:val="24"/>
          <w:szCs w:val="24"/>
        </w:rPr>
        <w:t>Quite the opposite is happening as t</w:t>
      </w:r>
      <w:r w:rsidR="00F122C3">
        <w:rPr>
          <w:rFonts w:eastAsia="Times New Roman" w:cstheme="minorHAnsi"/>
          <w:sz w:val="24"/>
          <w:szCs w:val="24"/>
        </w:rPr>
        <w:t xml:space="preserve">he exam eases the analysis of the geographic and income distribution of retail lending, small business lending, and consumer lending.  </w:t>
      </w:r>
      <w:r w:rsidR="00AC560C">
        <w:rPr>
          <w:rFonts w:eastAsia="Times New Roman" w:cstheme="minorHAnsi"/>
          <w:sz w:val="24"/>
          <w:szCs w:val="24"/>
        </w:rPr>
        <w:t>T</w:t>
      </w:r>
      <w:r w:rsidR="00F122C3">
        <w:rPr>
          <w:rFonts w:eastAsia="Times New Roman" w:cstheme="minorHAnsi"/>
          <w:sz w:val="24"/>
          <w:szCs w:val="24"/>
        </w:rPr>
        <w:t xml:space="preserve">here is no analysis of </w:t>
      </w:r>
      <w:r w:rsidR="00833150">
        <w:rPr>
          <w:rFonts w:eastAsia="Times New Roman" w:cstheme="minorHAnsi"/>
          <w:sz w:val="24"/>
          <w:szCs w:val="24"/>
        </w:rPr>
        <w:t xml:space="preserve">different loan sizes to small businesses or the distribution of </w:t>
      </w:r>
      <w:r w:rsidR="004B7084">
        <w:rPr>
          <w:rFonts w:eastAsia="Times New Roman" w:cstheme="minorHAnsi"/>
          <w:sz w:val="24"/>
          <w:szCs w:val="24"/>
        </w:rPr>
        <w:t>mortgages</w:t>
      </w:r>
      <w:r w:rsidR="00F122C3">
        <w:rPr>
          <w:rFonts w:eastAsia="Times New Roman" w:cstheme="minorHAnsi"/>
          <w:sz w:val="24"/>
          <w:szCs w:val="24"/>
        </w:rPr>
        <w:t xml:space="preserve"> in lower-income tracts, and no evaluation of the types of </w:t>
      </w:r>
      <w:r w:rsidR="00AC560C">
        <w:rPr>
          <w:rFonts w:eastAsia="Times New Roman" w:cstheme="minorHAnsi"/>
          <w:sz w:val="24"/>
          <w:szCs w:val="24"/>
        </w:rPr>
        <w:t>products offered to lower-income consumers.</w:t>
      </w:r>
      <w:r w:rsidR="003C7608">
        <w:rPr>
          <w:rFonts w:eastAsia="Times New Roman" w:cstheme="minorHAnsi"/>
          <w:sz w:val="24"/>
          <w:szCs w:val="24"/>
        </w:rPr>
        <w:t xml:space="preserve">  B</w:t>
      </w:r>
      <w:r w:rsidR="00AC560C">
        <w:rPr>
          <w:rFonts w:eastAsia="Times New Roman" w:cstheme="minorHAnsi"/>
          <w:sz w:val="24"/>
          <w:szCs w:val="24"/>
        </w:rPr>
        <w:t xml:space="preserve">anks </w:t>
      </w:r>
      <w:r w:rsidR="003C7608">
        <w:rPr>
          <w:rFonts w:eastAsia="Times New Roman" w:cstheme="minorHAnsi"/>
          <w:sz w:val="24"/>
          <w:szCs w:val="24"/>
        </w:rPr>
        <w:t>can</w:t>
      </w:r>
      <w:r w:rsidR="00AC560C">
        <w:rPr>
          <w:rFonts w:eastAsia="Times New Roman" w:cstheme="minorHAnsi"/>
          <w:sz w:val="24"/>
          <w:szCs w:val="24"/>
        </w:rPr>
        <w:t xml:space="preserve"> get credit for high-cost, high-interest credit cards and other</w:t>
      </w:r>
      <w:r w:rsidR="009F1B74">
        <w:rPr>
          <w:rFonts w:eastAsia="Times New Roman" w:cstheme="minorHAnsi"/>
          <w:sz w:val="24"/>
          <w:szCs w:val="24"/>
        </w:rPr>
        <w:t xml:space="preserve"> predatory</w:t>
      </w:r>
      <w:r w:rsidR="00AC560C">
        <w:rPr>
          <w:rFonts w:eastAsia="Times New Roman" w:cstheme="minorHAnsi"/>
          <w:sz w:val="24"/>
          <w:szCs w:val="24"/>
        </w:rPr>
        <w:t xml:space="preserve"> loans</w:t>
      </w:r>
      <w:r w:rsidR="009F1B74">
        <w:rPr>
          <w:rFonts w:eastAsia="Times New Roman" w:cstheme="minorHAnsi"/>
          <w:sz w:val="24"/>
          <w:szCs w:val="24"/>
        </w:rPr>
        <w:t xml:space="preserve"> and products</w:t>
      </w:r>
      <w:r w:rsidR="00AC560C">
        <w:rPr>
          <w:rFonts w:eastAsia="Times New Roman" w:cstheme="minorHAnsi"/>
          <w:sz w:val="24"/>
          <w:szCs w:val="24"/>
        </w:rPr>
        <w:t xml:space="preserve"> </w:t>
      </w:r>
      <w:r w:rsidR="003C7608">
        <w:rPr>
          <w:rFonts w:eastAsia="Times New Roman" w:cstheme="minorHAnsi"/>
          <w:sz w:val="24"/>
          <w:szCs w:val="24"/>
        </w:rPr>
        <w:t xml:space="preserve">offered </w:t>
      </w:r>
      <w:r w:rsidR="00AC560C">
        <w:rPr>
          <w:rFonts w:eastAsia="Times New Roman" w:cstheme="minorHAnsi"/>
          <w:sz w:val="24"/>
          <w:szCs w:val="24"/>
        </w:rPr>
        <w:t xml:space="preserve">to </w:t>
      </w:r>
      <w:r w:rsidR="009F1B74">
        <w:rPr>
          <w:rFonts w:eastAsia="Times New Roman" w:cstheme="minorHAnsi"/>
          <w:sz w:val="24"/>
          <w:szCs w:val="24"/>
        </w:rPr>
        <w:t>lower-income</w:t>
      </w:r>
      <w:r w:rsidR="00AC560C">
        <w:rPr>
          <w:rFonts w:eastAsia="Times New Roman" w:cstheme="minorHAnsi"/>
          <w:sz w:val="24"/>
          <w:szCs w:val="24"/>
        </w:rPr>
        <w:t xml:space="preserve"> consumers!</w:t>
      </w:r>
      <w:r w:rsidR="003C7608">
        <w:rPr>
          <w:rFonts w:eastAsia="Times New Roman" w:cstheme="minorHAnsi"/>
          <w:sz w:val="24"/>
          <w:szCs w:val="24"/>
        </w:rPr>
        <w:t xml:space="preserve">  </w:t>
      </w:r>
    </w:p>
    <w:p w14:paraId="615C2B25" w14:textId="77777777" w:rsidR="003C7608" w:rsidRDefault="003C7608" w:rsidP="00F122C3">
      <w:pPr>
        <w:ind w:left="720"/>
        <w:rPr>
          <w:rFonts w:eastAsia="Times New Roman" w:cstheme="minorHAnsi"/>
          <w:sz w:val="24"/>
          <w:szCs w:val="24"/>
        </w:rPr>
      </w:pPr>
    </w:p>
    <w:p w14:paraId="5ACE49E7" w14:textId="77777777" w:rsidR="008F1B99" w:rsidRDefault="008F1B99" w:rsidP="008F1B99">
      <w:pPr>
        <w:rPr>
          <w:rFonts w:eastAsia="Times New Roman" w:cstheme="minorHAnsi"/>
          <w:b/>
          <w:bCs/>
          <w:i/>
          <w:iCs/>
          <w:sz w:val="24"/>
          <w:szCs w:val="24"/>
        </w:rPr>
      </w:pPr>
    </w:p>
    <w:p w14:paraId="1A217FC8" w14:textId="77777777" w:rsidR="008F1B99" w:rsidRDefault="008F1B99">
      <w:pPr>
        <w:rPr>
          <w:rFonts w:eastAsia="Times New Roman" w:cstheme="minorHAnsi"/>
          <w:b/>
          <w:bCs/>
          <w:i/>
          <w:iCs/>
          <w:sz w:val="24"/>
          <w:szCs w:val="24"/>
        </w:rPr>
      </w:pPr>
      <w:r>
        <w:rPr>
          <w:rFonts w:eastAsia="Times New Roman" w:cstheme="minorHAnsi"/>
          <w:b/>
          <w:bCs/>
          <w:i/>
          <w:iCs/>
          <w:sz w:val="24"/>
          <w:szCs w:val="24"/>
        </w:rPr>
        <w:br w:type="page"/>
      </w:r>
    </w:p>
    <w:p w14:paraId="1DBA1DA2" w14:textId="0DF9E769" w:rsidR="008F1B99" w:rsidRPr="008F1B99" w:rsidRDefault="008F1B99" w:rsidP="008F1B99">
      <w:pPr>
        <w:rPr>
          <w:rFonts w:eastAsia="Times New Roman" w:cstheme="minorHAnsi"/>
          <w:b/>
          <w:bCs/>
          <w:i/>
          <w:iCs/>
          <w:sz w:val="28"/>
          <w:szCs w:val="28"/>
        </w:rPr>
      </w:pPr>
      <w:r w:rsidRPr="008F1B99">
        <w:rPr>
          <w:rFonts w:eastAsia="Times New Roman" w:cstheme="minorHAnsi"/>
          <w:b/>
          <w:bCs/>
          <w:i/>
          <w:iCs/>
          <w:sz w:val="28"/>
          <w:szCs w:val="28"/>
        </w:rPr>
        <w:lastRenderedPageBreak/>
        <w:t xml:space="preserve">Expansion of What Counts for CRA Credit  </w:t>
      </w:r>
    </w:p>
    <w:p w14:paraId="5C0BA818" w14:textId="77777777" w:rsidR="008F1B99" w:rsidRDefault="008F1B99" w:rsidP="008F1B99">
      <w:pPr>
        <w:rPr>
          <w:rFonts w:eastAsia="Times New Roman" w:cstheme="minorHAnsi"/>
          <w:b/>
          <w:bCs/>
          <w:sz w:val="24"/>
          <w:szCs w:val="24"/>
        </w:rPr>
      </w:pPr>
    </w:p>
    <w:p w14:paraId="420C27DB" w14:textId="36C26E3B" w:rsidR="0007763F" w:rsidRDefault="00E10F78" w:rsidP="008F1B99">
      <w:pPr>
        <w:rPr>
          <w:rFonts w:eastAsia="Times New Roman" w:cstheme="minorHAnsi"/>
          <w:sz w:val="24"/>
          <w:szCs w:val="24"/>
        </w:rPr>
      </w:pPr>
      <w:r w:rsidRPr="007F13EA">
        <w:rPr>
          <w:rFonts w:eastAsia="Times New Roman" w:cstheme="minorHAnsi"/>
          <w:b/>
          <w:bCs/>
          <w:sz w:val="24"/>
          <w:szCs w:val="24"/>
        </w:rPr>
        <w:t>The proposal greatly expands what counts for CRA credit with activities that benefit larger businesses and higher-income families</w:t>
      </w:r>
      <w:r w:rsidR="00833150">
        <w:rPr>
          <w:rFonts w:eastAsia="Times New Roman" w:cstheme="minorHAnsi"/>
          <w:b/>
          <w:bCs/>
          <w:sz w:val="24"/>
          <w:szCs w:val="24"/>
        </w:rPr>
        <w:t>, as well as activities that are not directed primarily at lower-income people or communities</w:t>
      </w:r>
      <w:r w:rsidRPr="007F13EA">
        <w:rPr>
          <w:rFonts w:eastAsia="Times New Roman" w:cstheme="minorHAnsi"/>
          <w:b/>
          <w:bCs/>
          <w:sz w:val="24"/>
          <w:szCs w:val="24"/>
        </w:rPr>
        <w:t>.</w:t>
      </w:r>
      <w:r w:rsidRPr="007F13EA">
        <w:rPr>
          <w:rFonts w:eastAsia="Times New Roman" w:cstheme="minorHAnsi"/>
          <w:sz w:val="24"/>
          <w:szCs w:val="24"/>
        </w:rPr>
        <w:t xml:space="preserve"> </w:t>
      </w:r>
      <w:r w:rsidR="00A26FC5" w:rsidRPr="007F13EA">
        <w:rPr>
          <w:rFonts w:eastAsia="Times New Roman" w:cstheme="minorHAnsi"/>
          <w:sz w:val="24"/>
          <w:szCs w:val="24"/>
        </w:rPr>
        <w:t xml:space="preserve"> </w:t>
      </w:r>
      <w:bookmarkStart w:id="3" w:name="_Hlk28882100"/>
      <w:r w:rsidR="00A26FC5" w:rsidRPr="007F13EA">
        <w:rPr>
          <w:rFonts w:eastAsia="Times New Roman" w:cstheme="minorHAnsi"/>
          <w:sz w:val="24"/>
          <w:szCs w:val="24"/>
        </w:rPr>
        <w:t xml:space="preserve">This includes </w:t>
      </w:r>
      <w:r w:rsidR="00833150">
        <w:rPr>
          <w:rFonts w:eastAsia="Times New Roman" w:cstheme="minorHAnsi"/>
          <w:sz w:val="24"/>
          <w:szCs w:val="24"/>
        </w:rPr>
        <w:t xml:space="preserve">small loans and small businesses up to $2 million in loan size and revenue (up from $1 million), </w:t>
      </w:r>
      <w:r w:rsidR="0007763F" w:rsidRPr="007F13EA">
        <w:rPr>
          <w:rFonts w:eastAsia="Times New Roman" w:cstheme="minorHAnsi"/>
          <w:sz w:val="24"/>
          <w:szCs w:val="24"/>
        </w:rPr>
        <w:t>community development activities that only partially benefit lower-income communities</w:t>
      </w:r>
      <w:r w:rsidR="00833150">
        <w:rPr>
          <w:rFonts w:eastAsia="Times New Roman" w:cstheme="minorHAnsi"/>
          <w:sz w:val="24"/>
          <w:szCs w:val="24"/>
        </w:rPr>
        <w:t>, and</w:t>
      </w:r>
      <w:r w:rsidR="0007763F" w:rsidRPr="007F13EA">
        <w:rPr>
          <w:rFonts w:eastAsia="Times New Roman" w:cstheme="minorHAnsi"/>
          <w:sz w:val="24"/>
          <w:szCs w:val="24"/>
        </w:rPr>
        <w:t xml:space="preserve"> some </w:t>
      </w:r>
      <w:r w:rsidR="003C7608" w:rsidRPr="007F13EA">
        <w:rPr>
          <w:rFonts w:eastAsia="Times New Roman" w:cstheme="minorHAnsi"/>
          <w:sz w:val="24"/>
          <w:szCs w:val="24"/>
        </w:rPr>
        <w:t xml:space="preserve">activities </w:t>
      </w:r>
      <w:r w:rsidR="0007763F" w:rsidRPr="007F13EA">
        <w:rPr>
          <w:rFonts w:eastAsia="Times New Roman" w:cstheme="minorHAnsi"/>
          <w:sz w:val="24"/>
          <w:szCs w:val="24"/>
        </w:rPr>
        <w:t>with no requirements at all</w:t>
      </w:r>
      <w:r w:rsidR="003C7608" w:rsidRPr="007F13EA">
        <w:rPr>
          <w:rFonts w:eastAsia="Times New Roman" w:cstheme="minorHAnsi"/>
          <w:sz w:val="24"/>
          <w:szCs w:val="24"/>
        </w:rPr>
        <w:t xml:space="preserve"> to benefit lower-income people</w:t>
      </w:r>
      <w:r w:rsidR="00833150">
        <w:rPr>
          <w:rFonts w:eastAsia="Times New Roman" w:cstheme="minorHAnsi"/>
          <w:sz w:val="24"/>
          <w:szCs w:val="24"/>
        </w:rPr>
        <w:t xml:space="preserve"> or small businesses</w:t>
      </w:r>
      <w:r w:rsidR="0007763F" w:rsidRPr="007F13EA">
        <w:rPr>
          <w:rFonts w:eastAsia="Times New Roman" w:cstheme="minorHAnsi"/>
          <w:sz w:val="24"/>
          <w:szCs w:val="24"/>
        </w:rPr>
        <w:t xml:space="preserve">.  </w:t>
      </w:r>
      <w:r w:rsidR="0007763F" w:rsidRPr="00833150">
        <w:rPr>
          <w:rFonts w:eastAsia="Times New Roman" w:cstheme="minorHAnsi"/>
          <w:b/>
          <w:bCs/>
          <w:sz w:val="24"/>
          <w:szCs w:val="24"/>
        </w:rPr>
        <w:t>In fact, a bank could get CRA credit for investing in an opportunity zone fund that finances luxury housing or athletic stadiums in low-income opportunity zones.</w:t>
      </w:r>
      <w:r w:rsidR="0007763F" w:rsidRPr="007F13EA">
        <w:rPr>
          <w:rFonts w:eastAsia="Times New Roman" w:cstheme="minorHAnsi"/>
          <w:sz w:val="24"/>
          <w:szCs w:val="24"/>
        </w:rPr>
        <w:t xml:space="preserve"> </w:t>
      </w:r>
      <w:r w:rsidR="003C7608" w:rsidRPr="007F13EA">
        <w:rPr>
          <w:rFonts w:eastAsia="Times New Roman" w:cstheme="minorHAnsi"/>
          <w:sz w:val="24"/>
          <w:szCs w:val="24"/>
        </w:rPr>
        <w:t xml:space="preserve"> Further, a bank could exclusively finance middle-income rental housing </w:t>
      </w:r>
      <w:r w:rsidR="00505DBB">
        <w:rPr>
          <w:rFonts w:eastAsia="Times New Roman" w:cstheme="minorHAnsi"/>
          <w:sz w:val="24"/>
          <w:szCs w:val="24"/>
        </w:rPr>
        <w:t xml:space="preserve">developments </w:t>
      </w:r>
      <w:r w:rsidR="003C7608" w:rsidRPr="007F13EA">
        <w:rPr>
          <w:rFonts w:eastAsia="Times New Roman" w:cstheme="minorHAnsi"/>
          <w:sz w:val="24"/>
          <w:szCs w:val="24"/>
        </w:rPr>
        <w:t>in high-cost markets like New York City, despite the persistent need for deep affordable housing for very low, low, and moderate-income families</w:t>
      </w:r>
      <w:r w:rsidR="00505DBB">
        <w:rPr>
          <w:rFonts w:eastAsia="Times New Roman" w:cstheme="minorHAnsi"/>
          <w:sz w:val="24"/>
          <w:szCs w:val="24"/>
        </w:rPr>
        <w:t>; over 40% of New Yorkers are low-income alone, with incomes below 50% AMI</w:t>
      </w:r>
      <w:r w:rsidR="00505DBB">
        <w:rPr>
          <w:rStyle w:val="FootnoteReference"/>
          <w:rFonts w:eastAsia="Times New Roman" w:cstheme="minorHAnsi"/>
          <w:sz w:val="24"/>
          <w:szCs w:val="24"/>
        </w:rPr>
        <w:footnoteReference w:id="1"/>
      </w:r>
      <w:r w:rsidR="003C7608" w:rsidRPr="007F13EA">
        <w:rPr>
          <w:rFonts w:eastAsia="Times New Roman" w:cstheme="minorHAnsi"/>
          <w:sz w:val="24"/>
          <w:szCs w:val="24"/>
        </w:rPr>
        <w:t xml:space="preserve">.  </w:t>
      </w:r>
      <w:r w:rsidR="007F13EA">
        <w:rPr>
          <w:rFonts w:eastAsia="Times New Roman" w:cstheme="minorHAnsi"/>
          <w:sz w:val="24"/>
          <w:szCs w:val="24"/>
        </w:rPr>
        <w:t xml:space="preserve">And because housing </w:t>
      </w:r>
      <w:r w:rsidR="00833150">
        <w:rPr>
          <w:rFonts w:eastAsia="Times New Roman" w:cstheme="minorHAnsi"/>
          <w:sz w:val="24"/>
          <w:szCs w:val="24"/>
        </w:rPr>
        <w:t xml:space="preserve">investments </w:t>
      </w:r>
      <w:r w:rsidR="007F13EA">
        <w:rPr>
          <w:rFonts w:eastAsia="Times New Roman" w:cstheme="minorHAnsi"/>
          <w:sz w:val="24"/>
          <w:szCs w:val="24"/>
        </w:rPr>
        <w:t>get double-credit, banks would have less incentive to do the extra work to finance low-income housing when they can more easily get double credit for</w:t>
      </w:r>
      <w:r w:rsidR="00833150">
        <w:rPr>
          <w:rFonts w:eastAsia="Times New Roman" w:cstheme="minorHAnsi"/>
          <w:sz w:val="24"/>
          <w:szCs w:val="24"/>
        </w:rPr>
        <w:t xml:space="preserve"> larger</w:t>
      </w:r>
      <w:r w:rsidR="007F13EA">
        <w:rPr>
          <w:rFonts w:eastAsia="Times New Roman" w:cstheme="minorHAnsi"/>
          <w:sz w:val="24"/>
          <w:szCs w:val="24"/>
        </w:rPr>
        <w:t xml:space="preserve"> middle-income </w:t>
      </w:r>
      <w:r w:rsidR="00833150">
        <w:rPr>
          <w:rFonts w:eastAsia="Times New Roman" w:cstheme="minorHAnsi"/>
          <w:sz w:val="24"/>
          <w:szCs w:val="24"/>
        </w:rPr>
        <w:t>developments</w:t>
      </w:r>
      <w:r w:rsidR="00505DBB">
        <w:rPr>
          <w:rFonts w:eastAsia="Times New Roman" w:cstheme="minorHAnsi"/>
          <w:sz w:val="24"/>
          <w:szCs w:val="24"/>
        </w:rPr>
        <w:t xml:space="preserve"> or loans on rent-stabilized buildings as part of their normal course of business, regardless of the quality of the housing or behavior of the landlord.  </w:t>
      </w:r>
    </w:p>
    <w:p w14:paraId="3C228BC7" w14:textId="6227D443" w:rsidR="00505DBB" w:rsidRDefault="00505DBB" w:rsidP="00505DBB">
      <w:pPr>
        <w:rPr>
          <w:rFonts w:eastAsia="Times New Roman" w:cstheme="minorHAnsi"/>
          <w:sz w:val="24"/>
          <w:szCs w:val="24"/>
        </w:rPr>
      </w:pPr>
    </w:p>
    <w:p w14:paraId="2D070960" w14:textId="0AA027E7" w:rsidR="00505DBB" w:rsidRPr="007F13EA" w:rsidRDefault="00505DBB" w:rsidP="008F1B99">
      <w:pPr>
        <w:rPr>
          <w:rFonts w:eastAsia="Times New Roman" w:cstheme="minorHAnsi"/>
          <w:sz w:val="24"/>
          <w:szCs w:val="24"/>
        </w:rPr>
      </w:pPr>
      <w:r>
        <w:rPr>
          <w:rFonts w:eastAsia="Times New Roman" w:cstheme="minorHAnsi"/>
          <w:sz w:val="24"/>
          <w:szCs w:val="24"/>
        </w:rPr>
        <w:t>Low Income Housing Tax Credit (LIHTC) investments, a critical piece of housing financing, is also at risk.  The value will almost surely go down as banks compete less for investment opportunities, thus reducing the amount of equity available to develop affordable housing.</w:t>
      </w:r>
    </w:p>
    <w:p w14:paraId="2EA5B4E6" w14:textId="77777777" w:rsidR="0007763F" w:rsidRDefault="0007763F" w:rsidP="008F1B99">
      <w:pPr>
        <w:rPr>
          <w:rFonts w:eastAsia="Times New Roman" w:cstheme="minorHAnsi"/>
          <w:sz w:val="24"/>
          <w:szCs w:val="24"/>
        </w:rPr>
      </w:pPr>
    </w:p>
    <w:bookmarkEnd w:id="3"/>
    <w:p w14:paraId="0E51AA1A" w14:textId="7E850E14" w:rsidR="007F13EA" w:rsidRDefault="00E10F78" w:rsidP="008F1B99">
      <w:pPr>
        <w:rPr>
          <w:rFonts w:eastAsia="Times New Roman" w:cstheme="minorHAnsi"/>
          <w:sz w:val="24"/>
          <w:szCs w:val="24"/>
        </w:rPr>
      </w:pPr>
      <w:r w:rsidRPr="00E10F78">
        <w:rPr>
          <w:rFonts w:eastAsia="Times New Roman" w:cstheme="minorHAnsi"/>
          <w:sz w:val="24"/>
          <w:szCs w:val="24"/>
        </w:rPr>
        <w:t xml:space="preserve">At the same time, </w:t>
      </w:r>
      <w:r w:rsidR="00A26FC5">
        <w:rPr>
          <w:rFonts w:eastAsia="Times New Roman" w:cstheme="minorHAnsi"/>
          <w:sz w:val="24"/>
          <w:szCs w:val="24"/>
        </w:rPr>
        <w:t>the proposal</w:t>
      </w:r>
      <w:r w:rsidRPr="00E10F78">
        <w:rPr>
          <w:rFonts w:eastAsia="Times New Roman" w:cstheme="minorHAnsi"/>
          <w:sz w:val="24"/>
          <w:szCs w:val="24"/>
        </w:rPr>
        <w:t xml:space="preserve"> minimizes or eliminates the emphasis on meaningful community investment</w:t>
      </w:r>
      <w:r w:rsidR="00833150">
        <w:rPr>
          <w:rFonts w:eastAsia="Times New Roman" w:cstheme="minorHAnsi"/>
          <w:sz w:val="24"/>
          <w:szCs w:val="24"/>
        </w:rPr>
        <w:t xml:space="preserve">s that can’t be quantified, such as </w:t>
      </w:r>
      <w:r w:rsidRPr="00E10F78">
        <w:rPr>
          <w:rFonts w:eastAsia="Times New Roman" w:cstheme="minorHAnsi"/>
          <w:sz w:val="24"/>
          <w:szCs w:val="24"/>
        </w:rPr>
        <w:t xml:space="preserve">bank branches, </w:t>
      </w:r>
      <w:r w:rsidR="00A26FC5">
        <w:rPr>
          <w:rFonts w:eastAsia="Times New Roman" w:cstheme="minorHAnsi"/>
          <w:sz w:val="24"/>
          <w:szCs w:val="24"/>
        </w:rPr>
        <w:t xml:space="preserve">affordable and accessible </w:t>
      </w:r>
      <w:r w:rsidRPr="00E10F78">
        <w:rPr>
          <w:rFonts w:eastAsia="Times New Roman" w:cstheme="minorHAnsi"/>
          <w:sz w:val="24"/>
          <w:szCs w:val="24"/>
        </w:rPr>
        <w:t xml:space="preserve">banking products, </w:t>
      </w:r>
      <w:r w:rsidR="007F13EA">
        <w:rPr>
          <w:rFonts w:eastAsia="Times New Roman" w:cstheme="minorHAnsi"/>
          <w:sz w:val="24"/>
          <w:szCs w:val="24"/>
        </w:rPr>
        <w:t xml:space="preserve">hours of operation, languages spoken, </w:t>
      </w:r>
      <w:r w:rsidRPr="00E10F78">
        <w:rPr>
          <w:rFonts w:eastAsia="Times New Roman" w:cstheme="minorHAnsi"/>
          <w:sz w:val="24"/>
          <w:szCs w:val="24"/>
        </w:rPr>
        <w:t>impactful volunteer hours, and quality jobs.</w:t>
      </w:r>
      <w:r w:rsidR="007F13EA">
        <w:rPr>
          <w:rFonts w:eastAsia="Times New Roman" w:cstheme="minorHAnsi"/>
          <w:sz w:val="24"/>
          <w:szCs w:val="24"/>
        </w:rPr>
        <w:t xml:space="preserve"> </w:t>
      </w:r>
    </w:p>
    <w:p w14:paraId="461459A6" w14:textId="52FD710F" w:rsidR="007F13EA" w:rsidRDefault="007F13EA" w:rsidP="007F13EA">
      <w:pPr>
        <w:rPr>
          <w:rFonts w:eastAsia="Times New Roman" w:cstheme="minorHAnsi"/>
          <w:sz w:val="24"/>
          <w:szCs w:val="24"/>
        </w:rPr>
      </w:pPr>
    </w:p>
    <w:p w14:paraId="3DD41A14" w14:textId="54112D7B" w:rsidR="008F1B99" w:rsidRPr="008F1B99" w:rsidRDefault="008F1B99" w:rsidP="008F1B99">
      <w:pPr>
        <w:rPr>
          <w:rFonts w:eastAsia="Times New Roman" w:cstheme="minorHAnsi"/>
          <w:b/>
          <w:bCs/>
          <w:i/>
          <w:iCs/>
          <w:sz w:val="28"/>
          <w:szCs w:val="28"/>
        </w:rPr>
      </w:pPr>
      <w:r w:rsidRPr="008F1B99">
        <w:rPr>
          <w:rFonts w:eastAsia="Times New Roman" w:cstheme="minorHAnsi"/>
          <w:b/>
          <w:bCs/>
          <w:i/>
          <w:iCs/>
          <w:sz w:val="28"/>
          <w:szCs w:val="28"/>
        </w:rPr>
        <w:t>Expansion of where banks can get CRA Credit – Loss of obligation to meet local credit needs</w:t>
      </w:r>
    </w:p>
    <w:p w14:paraId="2BA1566A" w14:textId="77777777" w:rsidR="008F1B99" w:rsidRDefault="008F1B99" w:rsidP="008F1B99">
      <w:pPr>
        <w:pStyle w:val="xxxxmsonormal"/>
        <w:spacing w:before="0" w:beforeAutospacing="0" w:after="0" w:afterAutospacing="0"/>
        <w:rPr>
          <w:rFonts w:eastAsia="Times New Roman" w:cstheme="minorHAnsi"/>
          <w:b/>
          <w:bCs/>
          <w:sz w:val="24"/>
          <w:szCs w:val="24"/>
        </w:rPr>
      </w:pPr>
    </w:p>
    <w:p w14:paraId="43B59622" w14:textId="78E95CFD" w:rsidR="001631A4" w:rsidRDefault="00E10F78" w:rsidP="008F1B99">
      <w:pPr>
        <w:pStyle w:val="xxxxmsonormal"/>
        <w:spacing w:before="0" w:beforeAutospacing="0" w:after="0" w:afterAutospacing="0"/>
        <w:rPr>
          <w:rFonts w:eastAsia="Times New Roman"/>
        </w:rPr>
      </w:pPr>
      <w:r w:rsidRPr="001631A4">
        <w:rPr>
          <w:rFonts w:eastAsia="Times New Roman" w:cstheme="minorHAnsi"/>
          <w:b/>
          <w:bCs/>
          <w:sz w:val="24"/>
          <w:szCs w:val="24"/>
        </w:rPr>
        <w:t>The proposal greatly expands where banks can get CRA credit, allowing for investment outside of local assessment areas, which minimizes focusing on local community needs and partnerships.</w:t>
      </w:r>
      <w:r w:rsidRPr="001631A4">
        <w:rPr>
          <w:rFonts w:eastAsia="Times New Roman" w:cstheme="minorHAnsi"/>
          <w:sz w:val="24"/>
          <w:szCs w:val="24"/>
        </w:rPr>
        <w:t xml:space="preserve"> </w:t>
      </w:r>
      <w:r w:rsidR="00F122C3" w:rsidRPr="001631A4">
        <w:rPr>
          <w:rFonts w:eastAsia="Times New Roman" w:cstheme="minorHAnsi"/>
          <w:sz w:val="24"/>
          <w:szCs w:val="24"/>
        </w:rPr>
        <w:t xml:space="preserve"> </w:t>
      </w:r>
      <w:r w:rsidR="007F13EA" w:rsidRPr="001631A4">
        <w:rPr>
          <w:rFonts w:eastAsia="Times New Roman" w:cstheme="minorHAnsi"/>
          <w:sz w:val="24"/>
          <w:szCs w:val="24"/>
        </w:rPr>
        <w:t xml:space="preserve">As mentioned above, banks can get a </w:t>
      </w:r>
      <w:r w:rsidR="00A9310D" w:rsidRPr="001631A4">
        <w:rPr>
          <w:rFonts w:eastAsia="Times New Roman" w:cstheme="minorHAnsi"/>
          <w:sz w:val="24"/>
          <w:szCs w:val="24"/>
        </w:rPr>
        <w:t xml:space="preserve">low or </w:t>
      </w:r>
      <w:r w:rsidR="007F13EA" w:rsidRPr="001631A4">
        <w:rPr>
          <w:rFonts w:eastAsia="Times New Roman" w:cstheme="minorHAnsi"/>
          <w:sz w:val="24"/>
          <w:szCs w:val="24"/>
        </w:rPr>
        <w:t xml:space="preserve">failing grade in half of their assessment areas and still pass their CRA exam if they meet their target dollar goals for the </w:t>
      </w:r>
      <w:r w:rsidR="00A9310D" w:rsidRPr="001631A4">
        <w:rPr>
          <w:rFonts w:eastAsia="Times New Roman" w:cstheme="minorHAnsi"/>
          <w:sz w:val="24"/>
          <w:szCs w:val="24"/>
        </w:rPr>
        <w:t xml:space="preserve">entire </w:t>
      </w:r>
      <w:r w:rsidR="007F13EA" w:rsidRPr="001631A4">
        <w:rPr>
          <w:rFonts w:eastAsia="Times New Roman" w:cstheme="minorHAnsi"/>
          <w:sz w:val="24"/>
          <w:szCs w:val="24"/>
        </w:rPr>
        <w:t xml:space="preserve">bank.  </w:t>
      </w:r>
      <w:r w:rsidR="001631A4">
        <w:rPr>
          <w:rFonts w:eastAsia="Times New Roman"/>
          <w:sz w:val="24"/>
          <w:szCs w:val="24"/>
        </w:rPr>
        <w:t xml:space="preserve">The bank-level evaluation combines CRA-qualified dollars loaned invested in all the assessment areas combined, as well as qualified activities </w:t>
      </w:r>
      <w:r w:rsidR="001631A4" w:rsidRPr="00CB1B8A">
        <w:rPr>
          <w:rFonts w:eastAsia="Times New Roman"/>
          <w:sz w:val="24"/>
          <w:szCs w:val="24"/>
          <w:u w:val="single"/>
        </w:rPr>
        <w:t>anywhere</w:t>
      </w:r>
      <w:r w:rsidR="001631A4">
        <w:rPr>
          <w:rFonts w:eastAsia="Times New Roman"/>
          <w:sz w:val="24"/>
          <w:szCs w:val="24"/>
        </w:rPr>
        <w:t xml:space="preserve">, regardless of assessment area. While some of these areas may need investment, </w:t>
      </w:r>
      <w:bookmarkStart w:id="4" w:name="_Hlk29822411"/>
      <w:r w:rsidR="001631A4">
        <w:rPr>
          <w:rFonts w:eastAsia="Times New Roman"/>
          <w:sz w:val="24"/>
          <w:szCs w:val="24"/>
        </w:rPr>
        <w:t xml:space="preserve">that investment </w:t>
      </w:r>
      <w:bookmarkEnd w:id="4"/>
      <w:r w:rsidR="001631A4">
        <w:rPr>
          <w:rFonts w:eastAsia="Times New Roman"/>
          <w:sz w:val="24"/>
          <w:szCs w:val="24"/>
        </w:rPr>
        <w:t xml:space="preserve">cannot come at the expense of the obligation to meet local needs. Further, all investments, regardless of location, should be analyzed for their impact on historically redlined communities.  </w:t>
      </w:r>
    </w:p>
    <w:p w14:paraId="1B60C7BA" w14:textId="71B0359B" w:rsidR="00A26FC5" w:rsidRPr="001631A4" w:rsidRDefault="00A26FC5" w:rsidP="001631A4">
      <w:pPr>
        <w:ind w:left="720"/>
        <w:rPr>
          <w:rFonts w:eastAsia="Times New Roman" w:cstheme="minorHAnsi"/>
          <w:b/>
          <w:bCs/>
          <w:sz w:val="24"/>
          <w:szCs w:val="24"/>
        </w:rPr>
      </w:pPr>
    </w:p>
    <w:p w14:paraId="4F8F0C72" w14:textId="77777777" w:rsidR="008F1B99" w:rsidRDefault="008F1B99">
      <w:pPr>
        <w:rPr>
          <w:rFonts w:eastAsia="Times New Roman" w:cstheme="minorHAnsi"/>
          <w:b/>
          <w:bCs/>
          <w:i/>
          <w:iCs/>
          <w:sz w:val="28"/>
          <w:szCs w:val="28"/>
        </w:rPr>
      </w:pPr>
      <w:r>
        <w:rPr>
          <w:rFonts w:eastAsia="Times New Roman" w:cstheme="minorHAnsi"/>
          <w:b/>
          <w:bCs/>
          <w:i/>
          <w:iCs/>
          <w:sz w:val="28"/>
          <w:szCs w:val="28"/>
        </w:rPr>
        <w:br w:type="page"/>
      </w:r>
    </w:p>
    <w:p w14:paraId="47F7AB3D" w14:textId="2FFB1CDD" w:rsidR="008F1B99" w:rsidRPr="008F1B99" w:rsidRDefault="008F1B99" w:rsidP="008F1B99">
      <w:pPr>
        <w:rPr>
          <w:rFonts w:eastAsia="Times New Roman" w:cstheme="minorHAnsi"/>
          <w:b/>
          <w:bCs/>
          <w:i/>
          <w:iCs/>
          <w:sz w:val="28"/>
          <w:szCs w:val="28"/>
        </w:rPr>
      </w:pPr>
      <w:r w:rsidRPr="008F1B99">
        <w:rPr>
          <w:rFonts w:eastAsia="Times New Roman" w:cstheme="minorHAnsi"/>
          <w:b/>
          <w:bCs/>
          <w:i/>
          <w:iCs/>
          <w:sz w:val="28"/>
          <w:szCs w:val="28"/>
        </w:rPr>
        <w:lastRenderedPageBreak/>
        <w:t>Formula for Dis-investment: More complicated, less transparent, and will lead to less investment</w:t>
      </w:r>
    </w:p>
    <w:p w14:paraId="0BE9003D" w14:textId="77777777" w:rsidR="008F1B99" w:rsidRDefault="008F1B99" w:rsidP="008F1B99">
      <w:pPr>
        <w:rPr>
          <w:rFonts w:eastAsia="Times New Roman" w:cstheme="minorHAnsi"/>
          <w:b/>
          <w:bCs/>
          <w:sz w:val="24"/>
          <w:szCs w:val="24"/>
        </w:rPr>
      </w:pPr>
    </w:p>
    <w:p w14:paraId="24120EC8" w14:textId="79FF088B" w:rsidR="00F122C3" w:rsidRPr="008F1B99" w:rsidRDefault="00153E8E" w:rsidP="008F1B99">
      <w:pPr>
        <w:rPr>
          <w:rFonts w:eastAsia="Times New Roman" w:cstheme="minorHAnsi"/>
          <w:sz w:val="24"/>
          <w:szCs w:val="24"/>
        </w:rPr>
      </w:pPr>
      <w:r w:rsidRPr="008F1B99">
        <w:rPr>
          <w:rFonts w:eastAsia="Times New Roman" w:cstheme="minorHAnsi"/>
          <w:b/>
          <w:bCs/>
          <w:sz w:val="24"/>
          <w:szCs w:val="24"/>
        </w:rPr>
        <w:t xml:space="preserve">The proposal does the opposite of what it </w:t>
      </w:r>
      <w:r w:rsidR="00A9310D" w:rsidRPr="008F1B99">
        <w:rPr>
          <w:rFonts w:eastAsia="Times New Roman" w:cstheme="minorHAnsi"/>
          <w:b/>
          <w:bCs/>
          <w:sz w:val="24"/>
          <w:szCs w:val="24"/>
        </w:rPr>
        <w:t>claims</w:t>
      </w:r>
      <w:r w:rsidRPr="008F1B99">
        <w:rPr>
          <w:rFonts w:eastAsia="Times New Roman" w:cstheme="minorHAnsi"/>
          <w:b/>
          <w:bCs/>
          <w:sz w:val="24"/>
          <w:szCs w:val="24"/>
        </w:rPr>
        <w:t xml:space="preserve"> to do for banks or the community</w:t>
      </w:r>
      <w:r w:rsidR="00A9310D" w:rsidRPr="008F1B99">
        <w:rPr>
          <w:rFonts w:eastAsia="Times New Roman" w:cstheme="minorHAnsi"/>
          <w:b/>
          <w:bCs/>
          <w:sz w:val="24"/>
          <w:szCs w:val="24"/>
        </w:rPr>
        <w:t xml:space="preserve">: </w:t>
      </w:r>
      <w:r w:rsidR="00A9310D" w:rsidRPr="008F1B99">
        <w:rPr>
          <w:rFonts w:eastAsia="Times New Roman" w:cstheme="minorHAnsi"/>
          <w:sz w:val="24"/>
          <w:szCs w:val="24"/>
        </w:rPr>
        <w:t>It is</w:t>
      </w:r>
      <w:r w:rsidRPr="008F1B99">
        <w:rPr>
          <w:rFonts w:eastAsia="Times New Roman" w:cstheme="minorHAnsi"/>
          <w:sz w:val="24"/>
          <w:szCs w:val="24"/>
        </w:rPr>
        <w:t xml:space="preserve"> </w:t>
      </w:r>
      <w:r w:rsidRPr="008F1B99">
        <w:rPr>
          <w:rFonts w:eastAsia="Times New Roman" w:cstheme="minorHAnsi"/>
          <w:b/>
          <w:bCs/>
          <w:sz w:val="24"/>
          <w:szCs w:val="24"/>
        </w:rPr>
        <w:t>less transparent, more complicated, and will ultimately lead to less investment and less meaningful investment</w:t>
      </w:r>
      <w:r w:rsidRPr="008F1B99">
        <w:rPr>
          <w:rFonts w:eastAsia="Times New Roman" w:cstheme="minorHAnsi"/>
          <w:sz w:val="24"/>
          <w:szCs w:val="24"/>
        </w:rPr>
        <w:t xml:space="preserve">. The proposal relies upon </w:t>
      </w:r>
      <w:r w:rsidR="00A9310D" w:rsidRPr="008F1B99">
        <w:rPr>
          <w:rFonts w:eastAsia="Times New Roman" w:cstheme="minorHAnsi"/>
          <w:sz w:val="24"/>
          <w:szCs w:val="24"/>
        </w:rPr>
        <w:t xml:space="preserve">deposit </w:t>
      </w:r>
      <w:r w:rsidR="001631A4" w:rsidRPr="008F1B99">
        <w:rPr>
          <w:rFonts w:eastAsia="Times New Roman" w:cstheme="minorHAnsi"/>
          <w:sz w:val="24"/>
          <w:szCs w:val="24"/>
        </w:rPr>
        <w:t>and community development</w:t>
      </w:r>
      <w:r w:rsidRPr="008F1B99">
        <w:rPr>
          <w:rFonts w:eastAsia="Times New Roman" w:cstheme="minorHAnsi"/>
          <w:sz w:val="24"/>
          <w:szCs w:val="24"/>
        </w:rPr>
        <w:t xml:space="preserve"> </w:t>
      </w:r>
      <w:r w:rsidR="001631A4" w:rsidRPr="008F1B99">
        <w:rPr>
          <w:rFonts w:eastAsia="Times New Roman" w:cstheme="minorHAnsi"/>
          <w:sz w:val="24"/>
          <w:szCs w:val="24"/>
        </w:rPr>
        <w:t xml:space="preserve">data that </w:t>
      </w:r>
      <w:r w:rsidRPr="008F1B99">
        <w:rPr>
          <w:rFonts w:eastAsia="Times New Roman" w:cstheme="minorHAnsi"/>
          <w:sz w:val="24"/>
          <w:szCs w:val="24"/>
        </w:rPr>
        <w:t>banks do not yet collect</w:t>
      </w:r>
      <w:r w:rsidR="001631A4" w:rsidRPr="008F1B99">
        <w:rPr>
          <w:rFonts w:eastAsia="Times New Roman" w:cstheme="minorHAnsi"/>
          <w:sz w:val="24"/>
          <w:szCs w:val="24"/>
        </w:rPr>
        <w:t>,</w:t>
      </w:r>
      <w:r w:rsidR="00A9310D" w:rsidRPr="008F1B99">
        <w:rPr>
          <w:rFonts w:eastAsia="Times New Roman" w:cstheme="minorHAnsi"/>
          <w:sz w:val="24"/>
          <w:szCs w:val="24"/>
        </w:rPr>
        <w:t xml:space="preserve"> </w:t>
      </w:r>
      <w:r w:rsidRPr="008F1B99">
        <w:rPr>
          <w:rFonts w:eastAsia="Times New Roman" w:cstheme="minorHAnsi"/>
          <w:sz w:val="24"/>
          <w:szCs w:val="24"/>
        </w:rPr>
        <w:t xml:space="preserve">with little transparency as to how banks will </w:t>
      </w:r>
      <w:r w:rsidR="00A9310D" w:rsidRPr="008F1B99">
        <w:rPr>
          <w:rFonts w:eastAsia="Times New Roman" w:cstheme="minorHAnsi"/>
          <w:sz w:val="24"/>
          <w:szCs w:val="24"/>
        </w:rPr>
        <w:t>collect and report on</w:t>
      </w:r>
      <w:r w:rsidRPr="008F1B99">
        <w:rPr>
          <w:rFonts w:eastAsia="Times New Roman" w:cstheme="minorHAnsi"/>
          <w:sz w:val="24"/>
          <w:szCs w:val="24"/>
        </w:rPr>
        <w:t xml:space="preserve"> the data.  The proposal no longer uses publicly available data, such as the Home Mortgage Disclosure Act (HMDA) data for home mortgages</w:t>
      </w:r>
      <w:r w:rsidR="00A9310D" w:rsidRPr="008F1B99">
        <w:rPr>
          <w:rFonts w:eastAsia="Times New Roman" w:cstheme="minorHAnsi"/>
          <w:sz w:val="24"/>
          <w:szCs w:val="24"/>
        </w:rPr>
        <w:t>, FDIC data for branches and deposits,</w:t>
      </w:r>
      <w:r w:rsidRPr="008F1B99">
        <w:rPr>
          <w:rFonts w:eastAsia="Times New Roman" w:cstheme="minorHAnsi"/>
          <w:sz w:val="24"/>
          <w:szCs w:val="24"/>
        </w:rPr>
        <w:t xml:space="preserve"> and the FFIEC for small business data</w:t>
      </w:r>
      <w:r w:rsidR="00A9310D" w:rsidRPr="008F1B99">
        <w:rPr>
          <w:rFonts w:eastAsia="Times New Roman" w:cstheme="minorHAnsi"/>
          <w:sz w:val="24"/>
          <w:szCs w:val="24"/>
        </w:rPr>
        <w:t xml:space="preserve">, thus reducing the ways the public can verify and provide </w:t>
      </w:r>
      <w:r w:rsidR="001631A4" w:rsidRPr="008F1B99">
        <w:rPr>
          <w:rFonts w:eastAsia="Times New Roman" w:cstheme="minorHAnsi"/>
          <w:sz w:val="24"/>
          <w:szCs w:val="24"/>
        </w:rPr>
        <w:t xml:space="preserve">meaningful </w:t>
      </w:r>
      <w:r w:rsidR="00A9310D" w:rsidRPr="008F1B99">
        <w:rPr>
          <w:rFonts w:eastAsia="Times New Roman" w:cstheme="minorHAnsi"/>
          <w:sz w:val="24"/>
          <w:szCs w:val="24"/>
        </w:rPr>
        <w:t xml:space="preserve">feedback on bank performance in those categories. The formula to calculate the target metric is complicated and relies upon data </w:t>
      </w:r>
      <w:proofErr w:type="gramStart"/>
      <w:r w:rsidR="00A9310D" w:rsidRPr="008F1B99">
        <w:rPr>
          <w:rFonts w:eastAsia="Times New Roman" w:cstheme="minorHAnsi"/>
          <w:sz w:val="24"/>
          <w:szCs w:val="24"/>
        </w:rPr>
        <w:t>never before</w:t>
      </w:r>
      <w:proofErr w:type="gramEnd"/>
      <w:r w:rsidR="00A9310D" w:rsidRPr="008F1B99">
        <w:rPr>
          <w:rFonts w:eastAsia="Times New Roman" w:cstheme="minorHAnsi"/>
          <w:sz w:val="24"/>
          <w:szCs w:val="24"/>
        </w:rPr>
        <w:t xml:space="preserve"> used on CRA exams, meaning banks will have to spend millions to adapt to this new system that will result in less transparency and less investment in our communities.  Meanwhile, s</w:t>
      </w:r>
      <w:r w:rsidR="00F122C3" w:rsidRPr="008F1B99">
        <w:rPr>
          <w:rFonts w:eastAsia="Times New Roman" w:cstheme="minorHAnsi"/>
          <w:sz w:val="24"/>
          <w:szCs w:val="24"/>
        </w:rPr>
        <w:t xml:space="preserve">maller banks below $500 million in assets can opt out of the new system, effectively removing </w:t>
      </w:r>
      <w:r w:rsidR="004B7084" w:rsidRPr="008F1B99">
        <w:rPr>
          <w:rFonts w:eastAsia="Times New Roman" w:cstheme="minorHAnsi"/>
          <w:sz w:val="24"/>
          <w:szCs w:val="24"/>
        </w:rPr>
        <w:t xml:space="preserve">the </w:t>
      </w:r>
      <w:r w:rsidR="00F122C3" w:rsidRPr="008F1B99">
        <w:rPr>
          <w:rFonts w:eastAsia="Times New Roman" w:cstheme="minorHAnsi"/>
          <w:sz w:val="24"/>
          <w:szCs w:val="24"/>
        </w:rPr>
        <w:t xml:space="preserve">community development finance requirements for many of those banks. </w:t>
      </w:r>
    </w:p>
    <w:p w14:paraId="37D8F0A8" w14:textId="77777777" w:rsidR="00A9310D" w:rsidRDefault="00A9310D" w:rsidP="00A26FC5">
      <w:pPr>
        <w:rPr>
          <w:rFonts w:eastAsia="Times New Roman" w:cstheme="minorHAnsi"/>
          <w:sz w:val="24"/>
          <w:szCs w:val="24"/>
        </w:rPr>
      </w:pPr>
    </w:p>
    <w:p w14:paraId="29FCE85C" w14:textId="19785170" w:rsidR="00A26FC5" w:rsidRPr="00A26FC5" w:rsidRDefault="00A26FC5" w:rsidP="00A26FC5">
      <w:pPr>
        <w:rPr>
          <w:rFonts w:eastAsia="Times New Roman" w:cstheme="minorHAnsi"/>
          <w:sz w:val="24"/>
          <w:szCs w:val="24"/>
        </w:rPr>
      </w:pPr>
      <w:r>
        <w:rPr>
          <w:rFonts w:eastAsia="Times New Roman" w:cstheme="minorHAnsi"/>
          <w:sz w:val="24"/>
          <w:szCs w:val="24"/>
        </w:rPr>
        <w:t>This is the wrong approach.</w:t>
      </w:r>
    </w:p>
    <w:p w14:paraId="020CE8E5" w14:textId="77777777" w:rsidR="00A26FC5" w:rsidRDefault="00A26FC5" w:rsidP="00A26FC5">
      <w:pPr>
        <w:rPr>
          <w:rFonts w:eastAsia="Times New Roman" w:cstheme="minorHAnsi"/>
          <w:b/>
          <w:bCs/>
          <w:sz w:val="24"/>
          <w:szCs w:val="24"/>
        </w:rPr>
      </w:pPr>
    </w:p>
    <w:p w14:paraId="64A5500E" w14:textId="007B75BF" w:rsidR="000923EB" w:rsidRPr="008F1B99" w:rsidRDefault="000923EB" w:rsidP="00A26FC5">
      <w:pPr>
        <w:rPr>
          <w:rFonts w:eastAsia="Times New Roman" w:cstheme="minorHAnsi"/>
          <w:b/>
          <w:bCs/>
          <w:i/>
          <w:iCs/>
          <w:sz w:val="28"/>
          <w:szCs w:val="28"/>
        </w:rPr>
      </w:pPr>
      <w:r w:rsidRPr="008F1B99">
        <w:rPr>
          <w:rFonts w:eastAsia="Times New Roman" w:cstheme="minorHAnsi"/>
          <w:b/>
          <w:bCs/>
          <w:i/>
          <w:iCs/>
          <w:sz w:val="28"/>
          <w:szCs w:val="28"/>
        </w:rPr>
        <w:t>Any reform must include OUR principles</w:t>
      </w:r>
      <w:r w:rsidR="001B044A" w:rsidRPr="008F1B99">
        <w:rPr>
          <w:rFonts w:eastAsia="Times New Roman" w:cstheme="minorHAnsi"/>
          <w:b/>
          <w:bCs/>
          <w:i/>
          <w:iCs/>
          <w:sz w:val="28"/>
          <w:szCs w:val="28"/>
        </w:rPr>
        <w:t xml:space="preserve"> to preserve and strengthen the CRA</w:t>
      </w:r>
      <w:r w:rsidRPr="008F1B99">
        <w:rPr>
          <w:rFonts w:eastAsia="Times New Roman" w:cstheme="minorHAnsi"/>
          <w:b/>
          <w:bCs/>
          <w:i/>
          <w:iCs/>
          <w:sz w:val="28"/>
          <w:szCs w:val="28"/>
        </w:rPr>
        <w:t xml:space="preserve"> </w:t>
      </w:r>
    </w:p>
    <w:p w14:paraId="4D010D4B" w14:textId="77777777" w:rsidR="000923EB" w:rsidRPr="000923EB" w:rsidRDefault="000923EB" w:rsidP="00A26FC5">
      <w:pPr>
        <w:pStyle w:val="Default"/>
        <w:rPr>
          <w:rFonts w:asciiTheme="minorHAnsi" w:eastAsia="Times New Roman" w:hAnsiTheme="minorHAnsi" w:cstheme="minorHAnsi"/>
          <w:color w:val="auto"/>
        </w:rPr>
      </w:pPr>
    </w:p>
    <w:p w14:paraId="53F06DF0" w14:textId="69C8562B" w:rsidR="000923EB" w:rsidRDefault="000923EB" w:rsidP="000923EB">
      <w:pPr>
        <w:pStyle w:val="Pa0"/>
        <w:numPr>
          <w:ilvl w:val="0"/>
          <w:numId w:val="17"/>
        </w:numPr>
        <w:rPr>
          <w:rFonts w:asciiTheme="minorHAnsi" w:eastAsia="Times New Roman" w:hAnsiTheme="minorHAnsi" w:cstheme="minorHAnsi"/>
        </w:rPr>
      </w:pPr>
      <w:r w:rsidRPr="000923EB">
        <w:rPr>
          <w:rFonts w:asciiTheme="minorHAnsi" w:eastAsia="Times New Roman" w:hAnsiTheme="minorHAnsi" w:cstheme="minorHAnsi"/>
          <w:b/>
          <w:bCs/>
        </w:rPr>
        <w:t>Banks should be evaluated on the quantity, quality and impact of their activities within the local communities they serve and based on the needs of these local communities</w:t>
      </w:r>
      <w:r w:rsidRPr="000923EB">
        <w:rPr>
          <w:rFonts w:asciiTheme="minorHAnsi" w:eastAsia="Times New Roman" w:hAnsiTheme="minorHAnsi" w:cstheme="minorHAnsi"/>
        </w:rPr>
        <w:t>.</w:t>
      </w:r>
      <w:r>
        <w:rPr>
          <w:rFonts w:asciiTheme="minorHAnsi" w:eastAsia="Times New Roman" w:hAnsiTheme="minorHAnsi" w:cstheme="minorHAnsi"/>
        </w:rPr>
        <w:t xml:space="preserve">  This cannot be done with a one-ratio evaluation that simply looks at dollars invested. </w:t>
      </w:r>
    </w:p>
    <w:p w14:paraId="771C940E" w14:textId="77777777" w:rsidR="000923EB" w:rsidRDefault="000923EB" w:rsidP="00F122C3">
      <w:pPr>
        <w:pStyle w:val="Pa0"/>
        <w:numPr>
          <w:ilvl w:val="1"/>
          <w:numId w:val="19"/>
        </w:numPr>
        <w:rPr>
          <w:rFonts w:asciiTheme="minorHAnsi" w:eastAsia="Times New Roman" w:hAnsiTheme="minorHAnsi" w:cstheme="minorHAnsi"/>
        </w:rPr>
      </w:pPr>
      <w:r w:rsidRPr="000923EB">
        <w:rPr>
          <w:rFonts w:asciiTheme="minorHAnsi" w:eastAsia="Times New Roman" w:hAnsiTheme="minorHAnsi" w:cstheme="minorHAnsi"/>
        </w:rPr>
        <w:t xml:space="preserve">Incentivize high quality, responsive activities that lift historically redlined people – </w:t>
      </w:r>
      <w:r w:rsidRPr="000923EB">
        <w:rPr>
          <w:rFonts w:asciiTheme="minorHAnsi" w:eastAsia="Times New Roman" w:hAnsiTheme="minorHAnsi" w:cstheme="minorHAnsi"/>
          <w:b/>
          <w:bCs/>
        </w:rPr>
        <w:t>people of color and low- and moderate-income people</w:t>
      </w:r>
      <w:r w:rsidRPr="000923EB">
        <w:rPr>
          <w:rFonts w:asciiTheme="minorHAnsi" w:eastAsia="Times New Roman" w:hAnsiTheme="minorHAnsi" w:cstheme="minorHAnsi"/>
        </w:rPr>
        <w:t xml:space="preserve"> – out of poverty and help reduce wealth and income disparities. </w:t>
      </w:r>
    </w:p>
    <w:p w14:paraId="34FD24A5" w14:textId="450BC2A4" w:rsidR="000923EB" w:rsidRDefault="000923EB" w:rsidP="00F122C3">
      <w:pPr>
        <w:pStyle w:val="Pa0"/>
        <w:numPr>
          <w:ilvl w:val="1"/>
          <w:numId w:val="19"/>
        </w:numPr>
        <w:rPr>
          <w:rFonts w:asciiTheme="minorHAnsi" w:eastAsia="Times New Roman" w:hAnsiTheme="minorHAnsi" w:cstheme="minorHAnsi"/>
        </w:rPr>
      </w:pPr>
      <w:r w:rsidRPr="000923EB">
        <w:rPr>
          <w:rFonts w:asciiTheme="minorHAnsi" w:eastAsia="Times New Roman" w:hAnsiTheme="minorHAnsi" w:cstheme="minorHAnsi"/>
        </w:rPr>
        <w:t>Downgrade banks that finance activities that cause displacement and harm.</w:t>
      </w:r>
    </w:p>
    <w:p w14:paraId="100D919C" w14:textId="77777777" w:rsidR="000923EB" w:rsidRPr="000923EB" w:rsidRDefault="000923EB" w:rsidP="000923EB">
      <w:pPr>
        <w:pStyle w:val="Default"/>
        <w:rPr>
          <w:rFonts w:asciiTheme="minorHAnsi" w:eastAsia="Times New Roman" w:hAnsiTheme="minorHAnsi" w:cstheme="minorHAnsi"/>
          <w:color w:val="auto"/>
        </w:rPr>
      </w:pPr>
    </w:p>
    <w:p w14:paraId="6E739592" w14:textId="10D7BD65" w:rsidR="000923EB" w:rsidRDefault="000923EB" w:rsidP="000923EB">
      <w:pPr>
        <w:pStyle w:val="Pa0"/>
        <w:numPr>
          <w:ilvl w:val="0"/>
          <w:numId w:val="17"/>
        </w:numPr>
        <w:rPr>
          <w:rFonts w:asciiTheme="minorHAnsi" w:eastAsia="Times New Roman" w:hAnsiTheme="minorHAnsi" w:cstheme="minorHAnsi"/>
        </w:rPr>
      </w:pPr>
      <w:r w:rsidRPr="000923EB">
        <w:rPr>
          <w:rFonts w:asciiTheme="minorHAnsi" w:eastAsia="Times New Roman" w:hAnsiTheme="minorHAnsi" w:cstheme="minorHAnsi"/>
          <w:b/>
          <w:bCs/>
        </w:rPr>
        <w:t>Community input and community needs must be at the heart of the CRA</w:t>
      </w:r>
      <w:r w:rsidRPr="000923EB">
        <w:rPr>
          <w:rFonts w:asciiTheme="minorHAnsi" w:eastAsia="Times New Roman" w:hAnsiTheme="minorHAnsi" w:cstheme="minorHAnsi"/>
        </w:rPr>
        <w:t>. Strong community needs assessment and community engagement should inform community needs and how examiners evaluate how well banks are meeting those needs.</w:t>
      </w:r>
    </w:p>
    <w:p w14:paraId="3F89871C" w14:textId="77777777" w:rsidR="000923EB" w:rsidRDefault="000923EB" w:rsidP="000923EB">
      <w:pPr>
        <w:pStyle w:val="ListParagraph"/>
      </w:pPr>
    </w:p>
    <w:p w14:paraId="633DF4C1" w14:textId="18A9BE08" w:rsidR="000923EB" w:rsidRPr="0074685E" w:rsidRDefault="000923EB" w:rsidP="000923EB">
      <w:pPr>
        <w:pStyle w:val="Default"/>
        <w:numPr>
          <w:ilvl w:val="0"/>
          <w:numId w:val="17"/>
        </w:numPr>
      </w:pPr>
      <w:bookmarkStart w:id="5" w:name="_Hlk28871723"/>
      <w:bookmarkStart w:id="6" w:name="_Hlk28876792"/>
      <w:r w:rsidRPr="000923EB">
        <w:rPr>
          <w:rFonts w:asciiTheme="minorHAnsi" w:eastAsia="Times New Roman" w:hAnsiTheme="minorHAnsi" w:cstheme="minorHAnsi"/>
          <w:b/>
          <w:bCs/>
        </w:rPr>
        <w:t>Assessment areas must maintain local obligations</w:t>
      </w:r>
      <w:r w:rsidRPr="000923EB">
        <w:rPr>
          <w:rFonts w:asciiTheme="minorHAnsi" w:eastAsia="Times New Roman" w:hAnsiTheme="minorHAnsi" w:cstheme="minorHAnsi"/>
        </w:rPr>
        <w:t xml:space="preserve">. The CRA must maintain the </w:t>
      </w:r>
      <w:r w:rsidR="0074685E">
        <w:rPr>
          <w:rFonts w:asciiTheme="minorHAnsi" w:eastAsia="Times New Roman" w:hAnsiTheme="minorHAnsi" w:cstheme="minorHAnsi"/>
        </w:rPr>
        <w:t xml:space="preserve">current </w:t>
      </w:r>
      <w:r w:rsidRPr="000923EB">
        <w:rPr>
          <w:rFonts w:asciiTheme="minorHAnsi" w:eastAsia="Times New Roman" w:hAnsiTheme="minorHAnsi" w:cstheme="minorHAnsi"/>
        </w:rPr>
        <w:t>place-based commitment banks have to local communities.</w:t>
      </w:r>
      <w:r>
        <w:rPr>
          <w:rFonts w:asciiTheme="minorHAnsi" w:eastAsia="Times New Roman" w:hAnsiTheme="minorHAnsi" w:cstheme="minorHAnsi"/>
        </w:rPr>
        <w:t xml:space="preserve">  </w:t>
      </w:r>
      <w:r w:rsidR="00F049BE">
        <w:rPr>
          <w:rFonts w:asciiTheme="minorHAnsi" w:eastAsia="Times New Roman" w:hAnsiTheme="minorHAnsi" w:cstheme="minorHAnsi"/>
        </w:rPr>
        <w:t>Banks should have additional assessment areas</w:t>
      </w:r>
      <w:r>
        <w:rPr>
          <w:rFonts w:asciiTheme="minorHAnsi" w:eastAsia="Times New Roman" w:hAnsiTheme="minorHAnsi" w:cstheme="minorHAnsi"/>
        </w:rPr>
        <w:t xml:space="preserve"> </w:t>
      </w:r>
      <w:r w:rsidR="00F049BE">
        <w:rPr>
          <w:rFonts w:asciiTheme="minorHAnsi" w:eastAsia="Times New Roman" w:hAnsiTheme="minorHAnsi" w:cstheme="minorHAnsi"/>
        </w:rPr>
        <w:t>where they</w:t>
      </w:r>
      <w:r>
        <w:rPr>
          <w:rFonts w:asciiTheme="minorHAnsi" w:eastAsia="Times New Roman" w:hAnsiTheme="minorHAnsi" w:cstheme="minorHAnsi"/>
        </w:rPr>
        <w:t xml:space="preserve"> do considerable business </w:t>
      </w:r>
      <w:r w:rsidR="00F049BE">
        <w:rPr>
          <w:rFonts w:asciiTheme="minorHAnsi" w:eastAsia="Times New Roman" w:hAnsiTheme="minorHAnsi" w:cstheme="minorHAnsi"/>
        </w:rPr>
        <w:t xml:space="preserve">(make loans / take deposits) </w:t>
      </w:r>
      <w:r>
        <w:rPr>
          <w:rFonts w:asciiTheme="minorHAnsi" w:eastAsia="Times New Roman" w:hAnsiTheme="minorHAnsi" w:cstheme="minorHAnsi"/>
        </w:rPr>
        <w:t>outside of their branch network</w:t>
      </w:r>
      <w:r w:rsidR="0074685E">
        <w:rPr>
          <w:rFonts w:asciiTheme="minorHAnsi" w:eastAsia="Times New Roman" w:hAnsiTheme="minorHAnsi" w:cstheme="minorHAnsi"/>
        </w:rPr>
        <w:t>. These</w:t>
      </w:r>
      <w:r w:rsidR="0074685E" w:rsidRPr="0074685E">
        <w:rPr>
          <w:rFonts w:asciiTheme="minorHAnsi" w:eastAsia="Times New Roman" w:hAnsiTheme="minorHAnsi" w:cstheme="minorHAnsi"/>
        </w:rPr>
        <w:t xml:space="preserve"> </w:t>
      </w:r>
      <w:r w:rsidR="0074685E">
        <w:rPr>
          <w:rFonts w:asciiTheme="minorHAnsi" w:eastAsia="Times New Roman" w:hAnsiTheme="minorHAnsi" w:cstheme="minorHAnsi"/>
        </w:rPr>
        <w:t xml:space="preserve">types of </w:t>
      </w:r>
      <w:r w:rsidR="0074685E" w:rsidRPr="0074685E">
        <w:rPr>
          <w:rFonts w:asciiTheme="minorHAnsi" w:eastAsia="Times New Roman" w:hAnsiTheme="minorHAnsi" w:cstheme="minorHAnsi"/>
        </w:rPr>
        <w:t>reform</w:t>
      </w:r>
      <w:r w:rsidR="0074685E">
        <w:rPr>
          <w:rFonts w:asciiTheme="minorHAnsi" w:eastAsia="Times New Roman" w:hAnsiTheme="minorHAnsi" w:cstheme="minorHAnsi"/>
        </w:rPr>
        <w:t>s</w:t>
      </w:r>
      <w:r w:rsidR="0074685E" w:rsidRPr="0074685E">
        <w:rPr>
          <w:rFonts w:asciiTheme="minorHAnsi" w:eastAsia="Times New Roman" w:hAnsiTheme="minorHAnsi" w:cstheme="minorHAnsi"/>
        </w:rPr>
        <w:t xml:space="preserve"> must maintain or increase quality reinvestment where it is needed, including high need “CRA hot spots” such as New York City, while also directing capital to under-banked regions</w:t>
      </w:r>
      <w:bookmarkEnd w:id="5"/>
      <w:r w:rsidR="0074685E">
        <w:rPr>
          <w:rFonts w:ascii="Arial" w:hAnsi="Arial" w:cs="Arial"/>
          <w:sz w:val="28"/>
          <w:szCs w:val="28"/>
        </w:rPr>
        <w:t>.</w:t>
      </w:r>
    </w:p>
    <w:bookmarkEnd w:id="6"/>
    <w:p w14:paraId="152D3E70" w14:textId="77777777" w:rsidR="005E112F" w:rsidRDefault="005E112F">
      <w:pPr>
        <w:rPr>
          <w:rFonts w:eastAsia="Times New Roman" w:cstheme="minorHAnsi"/>
          <w:b/>
          <w:i/>
          <w:sz w:val="28"/>
          <w:szCs w:val="24"/>
        </w:rPr>
      </w:pPr>
      <w:r>
        <w:rPr>
          <w:rFonts w:cstheme="minorHAnsi"/>
          <w:b/>
          <w:i/>
          <w:sz w:val="28"/>
        </w:rPr>
        <w:br w:type="page"/>
      </w:r>
    </w:p>
    <w:p w14:paraId="2A0F0381" w14:textId="72ED5044" w:rsidR="003F254D" w:rsidRPr="00835B4F" w:rsidRDefault="00662CB2" w:rsidP="0097195E">
      <w:pPr>
        <w:pStyle w:val="selectionshareable"/>
        <w:rPr>
          <w:rFonts w:asciiTheme="minorHAnsi" w:hAnsiTheme="minorHAnsi" w:cstheme="minorHAnsi"/>
          <w:b/>
          <w:i/>
          <w:sz w:val="28"/>
        </w:rPr>
      </w:pPr>
      <w:r>
        <w:rPr>
          <w:rFonts w:asciiTheme="minorHAnsi" w:hAnsiTheme="minorHAnsi" w:cstheme="minorHAnsi"/>
          <w:b/>
          <w:i/>
          <w:sz w:val="28"/>
        </w:rPr>
        <w:lastRenderedPageBreak/>
        <w:t>C</w:t>
      </w:r>
      <w:r w:rsidR="003F254D" w:rsidRPr="00835B4F">
        <w:rPr>
          <w:rFonts w:asciiTheme="minorHAnsi" w:hAnsiTheme="minorHAnsi" w:cstheme="minorHAnsi"/>
          <w:b/>
          <w:i/>
          <w:sz w:val="28"/>
        </w:rPr>
        <w:t>onclusion</w:t>
      </w:r>
    </w:p>
    <w:p w14:paraId="1D062735" w14:textId="159A1556" w:rsidR="0097195E" w:rsidRPr="00D575A2" w:rsidRDefault="00B11583" w:rsidP="0097195E">
      <w:pPr>
        <w:pStyle w:val="selectionshareable"/>
        <w:rPr>
          <w:rFonts w:asciiTheme="minorHAnsi" w:hAnsiTheme="minorHAnsi" w:cstheme="minorHAnsi"/>
        </w:rPr>
      </w:pPr>
      <w:r>
        <w:rPr>
          <w:rFonts w:asciiTheme="minorHAnsi" w:hAnsiTheme="minorHAnsi" w:cstheme="minorHAnsi"/>
        </w:rPr>
        <w:t>M</w:t>
      </w:r>
      <w:r w:rsidR="0097195E" w:rsidRPr="00D575A2">
        <w:rPr>
          <w:rFonts w:asciiTheme="minorHAnsi" w:hAnsiTheme="minorHAnsi" w:cstheme="minorHAnsi"/>
        </w:rPr>
        <w:t>eaningful CRA reform could boost lending and access to banking for underserved communities</w:t>
      </w:r>
      <w:r w:rsidR="000923EB">
        <w:rPr>
          <w:rFonts w:asciiTheme="minorHAnsi" w:hAnsiTheme="minorHAnsi" w:cstheme="minorHAnsi"/>
        </w:rPr>
        <w:t xml:space="preserve"> by incentivizing high quality, high impact activities based on local needs</w:t>
      </w:r>
      <w:r w:rsidR="00AA6447">
        <w:rPr>
          <w:rFonts w:asciiTheme="minorHAnsi" w:hAnsiTheme="minorHAnsi" w:cstheme="minorHAnsi"/>
        </w:rPr>
        <w:t>, while discouraging and downgrading for displacement and activities that cause harm</w:t>
      </w:r>
      <w:r w:rsidR="0097195E" w:rsidRPr="00D575A2">
        <w:rPr>
          <w:rFonts w:asciiTheme="minorHAnsi" w:hAnsiTheme="minorHAnsi" w:cstheme="minorHAnsi"/>
        </w:rPr>
        <w:t xml:space="preserve">. </w:t>
      </w:r>
      <w:r w:rsidR="000923EB">
        <w:rPr>
          <w:rFonts w:asciiTheme="minorHAnsi" w:hAnsiTheme="minorHAnsi" w:cstheme="minorHAnsi"/>
        </w:rPr>
        <w:t xml:space="preserve"> </w:t>
      </w:r>
      <w:r w:rsidR="003F254D" w:rsidRPr="00D575A2">
        <w:rPr>
          <w:rFonts w:asciiTheme="minorHAnsi" w:hAnsiTheme="minorHAnsi" w:cstheme="minorHAnsi"/>
        </w:rPr>
        <w:t xml:space="preserve">  </w:t>
      </w:r>
      <w:r w:rsidR="00AA6447">
        <w:rPr>
          <w:rFonts w:asciiTheme="minorHAnsi" w:hAnsiTheme="minorHAnsi" w:cstheme="minorHAnsi"/>
        </w:rPr>
        <w:t>Transparent and consistent exams would support these goals.</w:t>
      </w:r>
    </w:p>
    <w:p w14:paraId="19CB0CF1" w14:textId="6E5D8DD1" w:rsidR="00F122C3" w:rsidRDefault="00AA6447" w:rsidP="00F73574">
      <w:pPr>
        <w:pStyle w:val="selectionshareable"/>
        <w:rPr>
          <w:rFonts w:asciiTheme="minorHAnsi" w:hAnsiTheme="minorHAnsi" w:cstheme="minorHAnsi"/>
        </w:rPr>
      </w:pPr>
      <w:r>
        <w:rPr>
          <w:rFonts w:asciiTheme="minorHAnsi" w:hAnsiTheme="minorHAnsi" w:cstheme="minorHAnsi"/>
        </w:rPr>
        <w:t>This proposal does none of that. It creates a more complicated, less transparent system that will lead to less banking, lending, investments in our communities.</w:t>
      </w:r>
    </w:p>
    <w:p w14:paraId="16168C8E" w14:textId="470BCC17" w:rsidR="000D0D2F" w:rsidRDefault="000D0D2F" w:rsidP="00F73574">
      <w:pPr>
        <w:pStyle w:val="selectionshareable"/>
        <w:rPr>
          <w:rFonts w:asciiTheme="minorHAnsi" w:hAnsiTheme="minorHAnsi" w:cstheme="minorHAnsi"/>
        </w:rPr>
      </w:pPr>
      <w:r>
        <w:rPr>
          <w:rFonts w:asciiTheme="minorHAnsi" w:hAnsiTheme="minorHAnsi" w:cstheme="minorHAnsi"/>
        </w:rPr>
        <w:t xml:space="preserve">The OCC and FDIC should abandon this proposal and go back to the table with the Federal Reserve to come up with a plan that preserves the core of the CRA, truly addresses its shortcomings, and modernizes it to incorporate today’s banking world. </w:t>
      </w:r>
    </w:p>
    <w:p w14:paraId="101AF0B4" w14:textId="3A102E3F" w:rsidR="00CC3F51" w:rsidRDefault="0097195E" w:rsidP="00F73574">
      <w:pPr>
        <w:pStyle w:val="selectionshareable"/>
      </w:pPr>
      <w:r w:rsidRPr="00D575A2">
        <w:rPr>
          <w:rFonts w:asciiTheme="minorHAnsi" w:hAnsiTheme="minorHAnsi" w:cstheme="minorHAnsi"/>
        </w:rPr>
        <w:t>Thank you for your attention to our comments</w:t>
      </w:r>
      <w:r w:rsidRPr="00D575A2">
        <w:t>.</w:t>
      </w:r>
    </w:p>
    <w:p w14:paraId="1A41D51A" w14:textId="7CC525AB" w:rsidR="000A4E29" w:rsidRPr="000A4E29" w:rsidRDefault="000A4E29" w:rsidP="00F73574">
      <w:pPr>
        <w:pStyle w:val="selectionshareable"/>
        <w:rPr>
          <w:rFonts w:asciiTheme="minorHAnsi" w:hAnsiTheme="minorHAnsi" w:cstheme="minorHAnsi"/>
        </w:rPr>
      </w:pPr>
      <w:r w:rsidRPr="000A4E29">
        <w:rPr>
          <w:rFonts w:asciiTheme="minorHAnsi" w:hAnsiTheme="minorHAnsi" w:cstheme="minorHAnsi"/>
        </w:rPr>
        <w:t>Sincerely,</w:t>
      </w:r>
    </w:p>
    <w:p w14:paraId="366CD28F" w14:textId="77777777" w:rsidR="00AA6447" w:rsidRDefault="000A4E29" w:rsidP="00F73574">
      <w:pPr>
        <w:pStyle w:val="selectionshareable"/>
        <w:rPr>
          <w:rFonts w:asciiTheme="minorHAnsi" w:hAnsiTheme="minorHAnsi" w:cstheme="minorHAnsi"/>
        </w:rPr>
      </w:pPr>
      <w:r w:rsidRPr="000A4E29">
        <w:rPr>
          <w:rFonts w:asciiTheme="minorHAnsi" w:hAnsiTheme="minorHAnsi" w:cstheme="minorHAnsi"/>
          <w:highlight w:val="yellow"/>
        </w:rPr>
        <w:t>[NAME]</w:t>
      </w:r>
    </w:p>
    <w:p w14:paraId="1B279EA6" w14:textId="17691C3B" w:rsidR="000A4E29" w:rsidRPr="000A4E29" w:rsidRDefault="000A4E29" w:rsidP="00F73574">
      <w:pPr>
        <w:pStyle w:val="selectionshareable"/>
        <w:rPr>
          <w:rFonts w:asciiTheme="minorHAnsi" w:hAnsiTheme="minorHAnsi" w:cstheme="minorHAnsi"/>
        </w:rPr>
      </w:pPr>
      <w:r>
        <w:rPr>
          <w:rFonts w:asciiTheme="minorHAnsi" w:hAnsiTheme="minorHAnsi" w:cstheme="minorHAnsi"/>
        </w:rPr>
        <w:t>[</w:t>
      </w:r>
      <w:r w:rsidRPr="000A4E29">
        <w:rPr>
          <w:rFonts w:asciiTheme="minorHAnsi" w:hAnsiTheme="minorHAnsi" w:cstheme="minorHAnsi"/>
          <w:highlight w:val="yellow"/>
        </w:rPr>
        <w:t>ADDRESS/CONTACT INFO- PHONE/EMAIL</w:t>
      </w:r>
      <w:r>
        <w:rPr>
          <w:rFonts w:asciiTheme="minorHAnsi" w:hAnsiTheme="minorHAnsi" w:cstheme="minorHAnsi"/>
        </w:rPr>
        <w:t>]</w:t>
      </w:r>
    </w:p>
    <w:sectPr w:rsidR="000A4E29" w:rsidRPr="000A4E29" w:rsidSect="002D56C6">
      <w:headerReference w:type="default" r:id="rId11"/>
      <w:pgSz w:w="12240" w:h="15840"/>
      <w:pgMar w:top="1085"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E1BA" w14:textId="77777777" w:rsidR="00085933" w:rsidRDefault="00085933" w:rsidP="002C0D5B">
      <w:r>
        <w:separator/>
      </w:r>
    </w:p>
  </w:endnote>
  <w:endnote w:type="continuationSeparator" w:id="0">
    <w:p w14:paraId="4F9C4A7C" w14:textId="77777777" w:rsidR="00085933" w:rsidRDefault="00085933" w:rsidP="002C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
    <w:altName w:val="Times New Roman"/>
    <w:panose1 w:val="00000000000000000000"/>
    <w:charset w:val="00"/>
    <w:family w:val="roman"/>
    <w:notTrueType/>
    <w:pitch w:val="default"/>
    <w:sig w:usb0="00000003" w:usb1="00000000" w:usb2="00000000" w:usb3="00000000" w:csb0="00000001" w:csb1="00000000"/>
  </w:font>
  <w:font w:name="ZapfDingbats">
    <w:altName w:val="ZapfDingbats"/>
    <w:panose1 w:val="00000000000000000000"/>
    <w:charset w:val="02"/>
    <w:family w:val="decorative"/>
    <w:notTrueType/>
    <w:pitch w:val="variable"/>
    <w:sig w:usb0="00000000" w:usb1="10000000" w:usb2="00000000" w:usb3="00000000" w:csb0="80000000" w:csb1="00000000"/>
  </w:font>
  <w:font w:name="Minion Pro">
    <w:altName w:val="Cambria"/>
    <w:panose1 w:val="020405030503060902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SemiBold">
    <w:altName w:val="Calibri"/>
    <w:panose1 w:val="00000700000000000000"/>
    <w:charset w:val="00"/>
    <w:family w:val="modern"/>
    <w:notTrueType/>
    <w:pitch w:val="variable"/>
    <w:sig w:usb0="20000007" w:usb1="00000001" w:usb2="00000000" w:usb3="00000000" w:csb0="00000193" w:csb1="00000000"/>
  </w:font>
  <w:font w:name="Montserrat">
    <w:panose1 w:val="000005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D1B3" w14:textId="77777777" w:rsidR="00085933" w:rsidRDefault="00085933" w:rsidP="002C0D5B">
      <w:r>
        <w:separator/>
      </w:r>
    </w:p>
  </w:footnote>
  <w:footnote w:type="continuationSeparator" w:id="0">
    <w:p w14:paraId="3F483B8C" w14:textId="77777777" w:rsidR="00085933" w:rsidRDefault="00085933" w:rsidP="002C0D5B">
      <w:r>
        <w:continuationSeparator/>
      </w:r>
    </w:p>
  </w:footnote>
  <w:footnote w:id="1">
    <w:p w14:paraId="24CC259C" w14:textId="5B13DFA5" w:rsidR="00505DBB" w:rsidRDefault="00505DBB">
      <w:pPr>
        <w:pStyle w:val="FootnoteText"/>
      </w:pPr>
      <w:r>
        <w:rPr>
          <w:rStyle w:val="FootnoteReference"/>
        </w:rPr>
        <w:footnoteRef/>
      </w:r>
      <w:r>
        <w:t xml:space="preserve"> </w:t>
      </w:r>
      <w:hyperlink r:id="rId1" w:history="1">
        <w:r w:rsidRPr="00C70F5C">
          <w:rPr>
            <w:rStyle w:val="Hyperlink"/>
          </w:rPr>
          <w:t>https://anhd.org/sites/default/files/ami_cheat_sheet_2019_060519.pdf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EB4F" w14:textId="77777777" w:rsidR="00795190" w:rsidRDefault="00795190">
    <w:pPr>
      <w:pStyle w:val="Header"/>
    </w:pPr>
  </w:p>
  <w:p w14:paraId="6B9A1A7A" w14:textId="77777777" w:rsidR="00795190" w:rsidRDefault="00795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E69"/>
    <w:multiLevelType w:val="hybridMultilevel"/>
    <w:tmpl w:val="8A6E4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047C"/>
    <w:multiLevelType w:val="hybridMultilevel"/>
    <w:tmpl w:val="1410114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F9F"/>
    <w:multiLevelType w:val="multilevel"/>
    <w:tmpl w:val="E6980B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B31728"/>
    <w:multiLevelType w:val="hybridMultilevel"/>
    <w:tmpl w:val="A6467BE2"/>
    <w:lvl w:ilvl="0" w:tplc="6A804D8E">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0F6"/>
    <w:multiLevelType w:val="hybridMultilevel"/>
    <w:tmpl w:val="D1869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E04CE"/>
    <w:multiLevelType w:val="hybridMultilevel"/>
    <w:tmpl w:val="0BA86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2558E"/>
    <w:multiLevelType w:val="hybridMultilevel"/>
    <w:tmpl w:val="95A4462A"/>
    <w:lvl w:ilvl="0" w:tplc="237EE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1361D"/>
    <w:multiLevelType w:val="hybridMultilevel"/>
    <w:tmpl w:val="3DC4EED0"/>
    <w:lvl w:ilvl="0" w:tplc="E3E43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676AC"/>
    <w:multiLevelType w:val="hybridMultilevel"/>
    <w:tmpl w:val="ECB0CD16"/>
    <w:lvl w:ilvl="0" w:tplc="C07045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1131D"/>
    <w:multiLevelType w:val="hybridMultilevel"/>
    <w:tmpl w:val="689A57F8"/>
    <w:lvl w:ilvl="0" w:tplc="6FD4A8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55689"/>
    <w:multiLevelType w:val="multilevel"/>
    <w:tmpl w:val="2AE61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92DF0"/>
    <w:multiLevelType w:val="hybridMultilevel"/>
    <w:tmpl w:val="9FDAF7B0"/>
    <w:lvl w:ilvl="0" w:tplc="81F28B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65D5C"/>
    <w:multiLevelType w:val="hybridMultilevel"/>
    <w:tmpl w:val="DE40D852"/>
    <w:lvl w:ilvl="0" w:tplc="4C6E8D28">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31E14"/>
    <w:multiLevelType w:val="multilevel"/>
    <w:tmpl w:val="1EEA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04B79"/>
    <w:multiLevelType w:val="hybridMultilevel"/>
    <w:tmpl w:val="477CC760"/>
    <w:lvl w:ilvl="0" w:tplc="0DEEAB4E">
      <w:numFmt w:val="bullet"/>
      <w:lvlText w:val=""/>
      <w:lvlJc w:val="left"/>
      <w:pPr>
        <w:ind w:left="720" w:hanging="360"/>
      </w:pPr>
      <w:rPr>
        <w:rFonts w:ascii="Symbol" w:eastAsiaTheme="minorHAnsi" w:hAnsi="Symbol" w:cs="Melior"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77CD7"/>
    <w:multiLevelType w:val="hybridMultilevel"/>
    <w:tmpl w:val="242E73B2"/>
    <w:lvl w:ilvl="0" w:tplc="7690E90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83164"/>
    <w:multiLevelType w:val="hybridMultilevel"/>
    <w:tmpl w:val="EA9CE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6210C4"/>
    <w:multiLevelType w:val="hybridMultilevel"/>
    <w:tmpl w:val="0B0E551E"/>
    <w:lvl w:ilvl="0" w:tplc="C1EE45B8">
      <w:numFmt w:val="bullet"/>
      <w:lvlText w:val="-"/>
      <w:lvlJc w:val="left"/>
      <w:pPr>
        <w:ind w:left="720" w:hanging="360"/>
      </w:pPr>
      <w:rPr>
        <w:rFonts w:ascii="Calibri" w:eastAsiaTheme="minorHAnsi" w:hAnsi="Calibri" w:cs="Melio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62C80"/>
    <w:multiLevelType w:val="hybridMultilevel"/>
    <w:tmpl w:val="E6D04D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4"/>
  </w:num>
  <w:num w:numId="5">
    <w:abstractNumId w:val="8"/>
  </w:num>
  <w:num w:numId="6">
    <w:abstractNumId w:val="14"/>
  </w:num>
  <w:num w:numId="7">
    <w:abstractNumId w:val="1"/>
  </w:num>
  <w:num w:numId="8">
    <w:abstractNumId w:val="17"/>
  </w:num>
  <w:num w:numId="9">
    <w:abstractNumId w:val="14"/>
  </w:num>
  <w:num w:numId="10">
    <w:abstractNumId w:val="12"/>
  </w:num>
  <w:num w:numId="11">
    <w:abstractNumId w:val="16"/>
  </w:num>
  <w:num w:numId="12">
    <w:abstractNumId w:val="6"/>
  </w:num>
  <w:num w:numId="13">
    <w:abstractNumId w:val="11"/>
  </w:num>
  <w:num w:numId="14">
    <w:abstractNumId w:val="7"/>
  </w:num>
  <w:num w:numId="15">
    <w:abstractNumId w:val="15"/>
  </w:num>
  <w:num w:numId="16">
    <w:abstractNumId w:val="9"/>
  </w:num>
  <w:num w:numId="17">
    <w:abstractNumId w:val="5"/>
  </w:num>
  <w:num w:numId="18">
    <w:abstractNumId w:val="10"/>
  </w:num>
  <w:num w:numId="19">
    <w:abstractNumId w:val="18"/>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B1"/>
    <w:rsid w:val="0000684C"/>
    <w:rsid w:val="0001168A"/>
    <w:rsid w:val="000318B0"/>
    <w:rsid w:val="0004094F"/>
    <w:rsid w:val="00054267"/>
    <w:rsid w:val="0005542E"/>
    <w:rsid w:val="0005758B"/>
    <w:rsid w:val="00064EE5"/>
    <w:rsid w:val="000714FD"/>
    <w:rsid w:val="0007763F"/>
    <w:rsid w:val="000852E3"/>
    <w:rsid w:val="00085933"/>
    <w:rsid w:val="00087E03"/>
    <w:rsid w:val="000923EB"/>
    <w:rsid w:val="000950BA"/>
    <w:rsid w:val="000A2128"/>
    <w:rsid w:val="000A4E29"/>
    <w:rsid w:val="000B01A9"/>
    <w:rsid w:val="000B0401"/>
    <w:rsid w:val="000B3B35"/>
    <w:rsid w:val="000B689E"/>
    <w:rsid w:val="000C1498"/>
    <w:rsid w:val="000D0D2F"/>
    <w:rsid w:val="000E36CF"/>
    <w:rsid w:val="000E3B89"/>
    <w:rsid w:val="00105228"/>
    <w:rsid w:val="00117A75"/>
    <w:rsid w:val="0012477E"/>
    <w:rsid w:val="00130C29"/>
    <w:rsid w:val="00153E8E"/>
    <w:rsid w:val="00161298"/>
    <w:rsid w:val="001631A4"/>
    <w:rsid w:val="001701AD"/>
    <w:rsid w:val="00187AB7"/>
    <w:rsid w:val="00191248"/>
    <w:rsid w:val="00194AED"/>
    <w:rsid w:val="00195EEE"/>
    <w:rsid w:val="001B044A"/>
    <w:rsid w:val="001B3DBE"/>
    <w:rsid w:val="001B4007"/>
    <w:rsid w:val="001C4E44"/>
    <w:rsid w:val="001C7B5C"/>
    <w:rsid w:val="001E461A"/>
    <w:rsid w:val="001F0050"/>
    <w:rsid w:val="001F63C9"/>
    <w:rsid w:val="00205CD7"/>
    <w:rsid w:val="00221CA6"/>
    <w:rsid w:val="0022499C"/>
    <w:rsid w:val="002270B0"/>
    <w:rsid w:val="00234107"/>
    <w:rsid w:val="002379EB"/>
    <w:rsid w:val="00256DD1"/>
    <w:rsid w:val="00257975"/>
    <w:rsid w:val="00272C9A"/>
    <w:rsid w:val="002761A8"/>
    <w:rsid w:val="002862BF"/>
    <w:rsid w:val="00292801"/>
    <w:rsid w:val="002967B2"/>
    <w:rsid w:val="002A5EB5"/>
    <w:rsid w:val="002B47D5"/>
    <w:rsid w:val="002C0D5B"/>
    <w:rsid w:val="002D56C6"/>
    <w:rsid w:val="002D5EAF"/>
    <w:rsid w:val="002D7B2C"/>
    <w:rsid w:val="002E059D"/>
    <w:rsid w:val="002E0DC3"/>
    <w:rsid w:val="002F7382"/>
    <w:rsid w:val="00301F44"/>
    <w:rsid w:val="0033153D"/>
    <w:rsid w:val="00335B33"/>
    <w:rsid w:val="00341675"/>
    <w:rsid w:val="00343F79"/>
    <w:rsid w:val="00344447"/>
    <w:rsid w:val="00345FAF"/>
    <w:rsid w:val="003460A9"/>
    <w:rsid w:val="0034661E"/>
    <w:rsid w:val="00346B28"/>
    <w:rsid w:val="0035115A"/>
    <w:rsid w:val="00352075"/>
    <w:rsid w:val="003731C1"/>
    <w:rsid w:val="003850D0"/>
    <w:rsid w:val="0039620A"/>
    <w:rsid w:val="003A611D"/>
    <w:rsid w:val="003C0779"/>
    <w:rsid w:val="003C7608"/>
    <w:rsid w:val="003D4723"/>
    <w:rsid w:val="003F12F6"/>
    <w:rsid w:val="003F254D"/>
    <w:rsid w:val="003F41C0"/>
    <w:rsid w:val="003F59C7"/>
    <w:rsid w:val="0040507B"/>
    <w:rsid w:val="00423382"/>
    <w:rsid w:val="00423A86"/>
    <w:rsid w:val="004266F3"/>
    <w:rsid w:val="0042760E"/>
    <w:rsid w:val="00445751"/>
    <w:rsid w:val="004579AD"/>
    <w:rsid w:val="00481E83"/>
    <w:rsid w:val="00493540"/>
    <w:rsid w:val="004B4459"/>
    <w:rsid w:val="004B6DED"/>
    <w:rsid w:val="004B7084"/>
    <w:rsid w:val="004C0254"/>
    <w:rsid w:val="004C1500"/>
    <w:rsid w:val="004C2F91"/>
    <w:rsid w:val="004C39CD"/>
    <w:rsid w:val="004F0B8A"/>
    <w:rsid w:val="004F25C8"/>
    <w:rsid w:val="004F658F"/>
    <w:rsid w:val="00504205"/>
    <w:rsid w:val="00505DBB"/>
    <w:rsid w:val="00506EDA"/>
    <w:rsid w:val="00513D3D"/>
    <w:rsid w:val="005236A6"/>
    <w:rsid w:val="00527BFF"/>
    <w:rsid w:val="00530B94"/>
    <w:rsid w:val="005334C8"/>
    <w:rsid w:val="005431E6"/>
    <w:rsid w:val="00561FA8"/>
    <w:rsid w:val="00565540"/>
    <w:rsid w:val="00566B07"/>
    <w:rsid w:val="00582F72"/>
    <w:rsid w:val="00584B6F"/>
    <w:rsid w:val="0058730F"/>
    <w:rsid w:val="005875E0"/>
    <w:rsid w:val="005906BF"/>
    <w:rsid w:val="005A0979"/>
    <w:rsid w:val="005A51A6"/>
    <w:rsid w:val="005C0016"/>
    <w:rsid w:val="005C6593"/>
    <w:rsid w:val="005E0CF7"/>
    <w:rsid w:val="005E112F"/>
    <w:rsid w:val="005E1567"/>
    <w:rsid w:val="005E1628"/>
    <w:rsid w:val="005E647E"/>
    <w:rsid w:val="00622E04"/>
    <w:rsid w:val="006252B6"/>
    <w:rsid w:val="00644213"/>
    <w:rsid w:val="00662CB2"/>
    <w:rsid w:val="006676B1"/>
    <w:rsid w:val="00683FF5"/>
    <w:rsid w:val="0068443D"/>
    <w:rsid w:val="006912FF"/>
    <w:rsid w:val="006A2DCC"/>
    <w:rsid w:val="006B031C"/>
    <w:rsid w:val="006B1EBF"/>
    <w:rsid w:val="006B45E5"/>
    <w:rsid w:val="006B7BE1"/>
    <w:rsid w:val="006C1FAC"/>
    <w:rsid w:val="006C438E"/>
    <w:rsid w:val="006D0FD3"/>
    <w:rsid w:val="006D791C"/>
    <w:rsid w:val="006E466A"/>
    <w:rsid w:val="00707801"/>
    <w:rsid w:val="007105A6"/>
    <w:rsid w:val="0074685E"/>
    <w:rsid w:val="00751CBC"/>
    <w:rsid w:val="00757D54"/>
    <w:rsid w:val="00764BC0"/>
    <w:rsid w:val="00777396"/>
    <w:rsid w:val="00795190"/>
    <w:rsid w:val="007A3D37"/>
    <w:rsid w:val="007E003A"/>
    <w:rsid w:val="007E098B"/>
    <w:rsid w:val="007E7D23"/>
    <w:rsid w:val="007F13EA"/>
    <w:rsid w:val="007F73B3"/>
    <w:rsid w:val="00803744"/>
    <w:rsid w:val="008057EB"/>
    <w:rsid w:val="00811C9A"/>
    <w:rsid w:val="00821373"/>
    <w:rsid w:val="00833150"/>
    <w:rsid w:val="00835B4F"/>
    <w:rsid w:val="00836447"/>
    <w:rsid w:val="00873503"/>
    <w:rsid w:val="008736DE"/>
    <w:rsid w:val="0089322D"/>
    <w:rsid w:val="0089537B"/>
    <w:rsid w:val="008B05F6"/>
    <w:rsid w:val="008C1D07"/>
    <w:rsid w:val="008D2C14"/>
    <w:rsid w:val="008D6933"/>
    <w:rsid w:val="008F1B99"/>
    <w:rsid w:val="008F6700"/>
    <w:rsid w:val="008F759B"/>
    <w:rsid w:val="008F7F7E"/>
    <w:rsid w:val="00933931"/>
    <w:rsid w:val="00955A6F"/>
    <w:rsid w:val="00955BFE"/>
    <w:rsid w:val="0096633F"/>
    <w:rsid w:val="00967200"/>
    <w:rsid w:val="0097195E"/>
    <w:rsid w:val="0098386C"/>
    <w:rsid w:val="009B0B9F"/>
    <w:rsid w:val="009B15A0"/>
    <w:rsid w:val="009B383D"/>
    <w:rsid w:val="009B6F92"/>
    <w:rsid w:val="009C3E06"/>
    <w:rsid w:val="009C4AC3"/>
    <w:rsid w:val="009D3BC1"/>
    <w:rsid w:val="009E6012"/>
    <w:rsid w:val="009E6BD4"/>
    <w:rsid w:val="009F1B74"/>
    <w:rsid w:val="009F2156"/>
    <w:rsid w:val="009F2AC5"/>
    <w:rsid w:val="00A10BA6"/>
    <w:rsid w:val="00A153CD"/>
    <w:rsid w:val="00A23E07"/>
    <w:rsid w:val="00A26FC5"/>
    <w:rsid w:val="00A272DE"/>
    <w:rsid w:val="00A457E7"/>
    <w:rsid w:val="00A4770D"/>
    <w:rsid w:val="00A503F7"/>
    <w:rsid w:val="00A51C9F"/>
    <w:rsid w:val="00A72079"/>
    <w:rsid w:val="00A72A8E"/>
    <w:rsid w:val="00A9310D"/>
    <w:rsid w:val="00A96709"/>
    <w:rsid w:val="00A97619"/>
    <w:rsid w:val="00AA6447"/>
    <w:rsid w:val="00AB4455"/>
    <w:rsid w:val="00AC017B"/>
    <w:rsid w:val="00AC560C"/>
    <w:rsid w:val="00AC65D3"/>
    <w:rsid w:val="00AC7B0D"/>
    <w:rsid w:val="00AE3EBB"/>
    <w:rsid w:val="00AE48D6"/>
    <w:rsid w:val="00B11583"/>
    <w:rsid w:val="00B20D59"/>
    <w:rsid w:val="00B2335D"/>
    <w:rsid w:val="00B26EF0"/>
    <w:rsid w:val="00B364BB"/>
    <w:rsid w:val="00B41C3D"/>
    <w:rsid w:val="00B46925"/>
    <w:rsid w:val="00B527FC"/>
    <w:rsid w:val="00B613DA"/>
    <w:rsid w:val="00B6676A"/>
    <w:rsid w:val="00B81034"/>
    <w:rsid w:val="00B82429"/>
    <w:rsid w:val="00B84E0F"/>
    <w:rsid w:val="00B873F3"/>
    <w:rsid w:val="00B953F0"/>
    <w:rsid w:val="00B96295"/>
    <w:rsid w:val="00B96B1C"/>
    <w:rsid w:val="00BA2070"/>
    <w:rsid w:val="00BA6369"/>
    <w:rsid w:val="00BC0AA3"/>
    <w:rsid w:val="00BD5335"/>
    <w:rsid w:val="00BE0D91"/>
    <w:rsid w:val="00BE5BCB"/>
    <w:rsid w:val="00C03396"/>
    <w:rsid w:val="00C3292E"/>
    <w:rsid w:val="00C4590F"/>
    <w:rsid w:val="00C471F8"/>
    <w:rsid w:val="00C53581"/>
    <w:rsid w:val="00C606BA"/>
    <w:rsid w:val="00C65E06"/>
    <w:rsid w:val="00C7541F"/>
    <w:rsid w:val="00C77538"/>
    <w:rsid w:val="00C859D2"/>
    <w:rsid w:val="00C96869"/>
    <w:rsid w:val="00CA6D2D"/>
    <w:rsid w:val="00CB14B9"/>
    <w:rsid w:val="00CB6DC0"/>
    <w:rsid w:val="00CC3F51"/>
    <w:rsid w:val="00CF3FAE"/>
    <w:rsid w:val="00CF6E73"/>
    <w:rsid w:val="00D3181E"/>
    <w:rsid w:val="00D3718F"/>
    <w:rsid w:val="00D377D6"/>
    <w:rsid w:val="00D37AFF"/>
    <w:rsid w:val="00D40242"/>
    <w:rsid w:val="00D439E8"/>
    <w:rsid w:val="00D45894"/>
    <w:rsid w:val="00D575A2"/>
    <w:rsid w:val="00D72728"/>
    <w:rsid w:val="00D9293E"/>
    <w:rsid w:val="00DB7B03"/>
    <w:rsid w:val="00DD6450"/>
    <w:rsid w:val="00E03F92"/>
    <w:rsid w:val="00E10F78"/>
    <w:rsid w:val="00E176B3"/>
    <w:rsid w:val="00E308E5"/>
    <w:rsid w:val="00E405A5"/>
    <w:rsid w:val="00E55C19"/>
    <w:rsid w:val="00E57E38"/>
    <w:rsid w:val="00E66A9F"/>
    <w:rsid w:val="00E70C2E"/>
    <w:rsid w:val="00E7763D"/>
    <w:rsid w:val="00E8140B"/>
    <w:rsid w:val="00E86F6E"/>
    <w:rsid w:val="00EB2FC0"/>
    <w:rsid w:val="00EB7B77"/>
    <w:rsid w:val="00ED20C0"/>
    <w:rsid w:val="00EE1BAE"/>
    <w:rsid w:val="00EE2B0B"/>
    <w:rsid w:val="00EF225F"/>
    <w:rsid w:val="00EF594D"/>
    <w:rsid w:val="00EF6D63"/>
    <w:rsid w:val="00F01DE2"/>
    <w:rsid w:val="00F049BE"/>
    <w:rsid w:val="00F05C33"/>
    <w:rsid w:val="00F122C3"/>
    <w:rsid w:val="00F22FA1"/>
    <w:rsid w:val="00F24494"/>
    <w:rsid w:val="00F32E95"/>
    <w:rsid w:val="00F60246"/>
    <w:rsid w:val="00F607C5"/>
    <w:rsid w:val="00F70106"/>
    <w:rsid w:val="00F73574"/>
    <w:rsid w:val="00F85564"/>
    <w:rsid w:val="00FA21CF"/>
    <w:rsid w:val="00FA5BA8"/>
    <w:rsid w:val="00FC2948"/>
    <w:rsid w:val="00FD2B99"/>
    <w:rsid w:val="00FE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56583C"/>
  <w15:docId w15:val="{2B459E11-58A8-4724-A3D0-86478DEB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6B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676B1"/>
    <w:pPr>
      <w:ind w:left="720"/>
      <w:contextualSpacing/>
    </w:pPr>
  </w:style>
  <w:style w:type="character" w:customStyle="1" w:styleId="A3">
    <w:name w:val="A3"/>
    <w:uiPriority w:val="99"/>
    <w:rsid w:val="002C0D5B"/>
    <w:rPr>
      <w:rFonts w:ascii="ZapfDingbats" w:hAnsi="ZapfDingbats" w:cs="ZapfDingbats" w:hint="default"/>
      <w:color w:val="000000"/>
      <w:sz w:val="18"/>
      <w:szCs w:val="18"/>
    </w:rPr>
  </w:style>
  <w:style w:type="paragraph" w:styleId="FootnoteText">
    <w:name w:val="footnote text"/>
    <w:basedOn w:val="Normal"/>
    <w:link w:val="FootnoteTextChar"/>
    <w:uiPriority w:val="99"/>
    <w:unhideWhenUsed/>
    <w:rsid w:val="002C0D5B"/>
    <w:rPr>
      <w:sz w:val="20"/>
      <w:szCs w:val="20"/>
    </w:rPr>
  </w:style>
  <w:style w:type="character" w:customStyle="1" w:styleId="FootnoteTextChar">
    <w:name w:val="Footnote Text Char"/>
    <w:basedOn w:val="DefaultParagraphFont"/>
    <w:link w:val="FootnoteText"/>
    <w:uiPriority w:val="99"/>
    <w:rsid w:val="002C0D5B"/>
    <w:rPr>
      <w:sz w:val="20"/>
      <w:szCs w:val="20"/>
    </w:rPr>
  </w:style>
  <w:style w:type="character" w:styleId="FootnoteReference">
    <w:name w:val="footnote reference"/>
    <w:basedOn w:val="DefaultParagraphFont"/>
    <w:uiPriority w:val="99"/>
    <w:unhideWhenUsed/>
    <w:rsid w:val="002C0D5B"/>
    <w:rPr>
      <w:vertAlign w:val="superscript"/>
    </w:rPr>
  </w:style>
  <w:style w:type="paragraph" w:customStyle="1" w:styleId="Default">
    <w:name w:val="Default"/>
    <w:rsid w:val="002C0D5B"/>
    <w:pPr>
      <w:autoSpaceDE w:val="0"/>
      <w:autoSpaceDN w:val="0"/>
      <w:adjustRightInd w:val="0"/>
    </w:pPr>
    <w:rPr>
      <w:rFonts w:ascii="Minion Pro" w:hAnsi="Minion Pro" w:cs="Minion Pro"/>
      <w:color w:val="000000"/>
      <w:sz w:val="24"/>
      <w:szCs w:val="24"/>
    </w:rPr>
  </w:style>
  <w:style w:type="character" w:styleId="Hyperlink">
    <w:name w:val="Hyperlink"/>
    <w:basedOn w:val="DefaultParagraphFont"/>
    <w:uiPriority w:val="99"/>
    <w:unhideWhenUsed/>
    <w:rsid w:val="002C0D5B"/>
    <w:rPr>
      <w:color w:val="0000FF" w:themeColor="hyperlink"/>
      <w:u w:val="single"/>
    </w:rPr>
  </w:style>
  <w:style w:type="paragraph" w:styleId="BalloonText">
    <w:name w:val="Balloon Text"/>
    <w:basedOn w:val="Normal"/>
    <w:link w:val="BalloonTextChar"/>
    <w:uiPriority w:val="99"/>
    <w:semiHidden/>
    <w:unhideWhenUsed/>
    <w:rsid w:val="00BA6369"/>
    <w:rPr>
      <w:rFonts w:ascii="Tahoma" w:hAnsi="Tahoma" w:cs="Tahoma"/>
      <w:sz w:val="16"/>
      <w:szCs w:val="16"/>
    </w:rPr>
  </w:style>
  <w:style w:type="character" w:customStyle="1" w:styleId="BalloonTextChar">
    <w:name w:val="Balloon Text Char"/>
    <w:basedOn w:val="DefaultParagraphFont"/>
    <w:link w:val="BalloonText"/>
    <w:uiPriority w:val="99"/>
    <w:semiHidden/>
    <w:rsid w:val="00BA6369"/>
    <w:rPr>
      <w:rFonts w:ascii="Tahoma" w:hAnsi="Tahoma" w:cs="Tahoma"/>
      <w:sz w:val="16"/>
      <w:szCs w:val="16"/>
    </w:rPr>
  </w:style>
  <w:style w:type="paragraph" w:styleId="Header">
    <w:name w:val="header"/>
    <w:basedOn w:val="Normal"/>
    <w:link w:val="HeaderChar"/>
    <w:uiPriority w:val="99"/>
    <w:unhideWhenUsed/>
    <w:rsid w:val="00795190"/>
    <w:pPr>
      <w:tabs>
        <w:tab w:val="center" w:pos="4680"/>
        <w:tab w:val="right" w:pos="9360"/>
      </w:tabs>
    </w:pPr>
  </w:style>
  <w:style w:type="character" w:customStyle="1" w:styleId="HeaderChar">
    <w:name w:val="Header Char"/>
    <w:basedOn w:val="DefaultParagraphFont"/>
    <w:link w:val="Header"/>
    <w:uiPriority w:val="99"/>
    <w:rsid w:val="00795190"/>
  </w:style>
  <w:style w:type="paragraph" w:styleId="Footer">
    <w:name w:val="footer"/>
    <w:basedOn w:val="Normal"/>
    <w:link w:val="FooterChar"/>
    <w:uiPriority w:val="99"/>
    <w:unhideWhenUsed/>
    <w:rsid w:val="00795190"/>
    <w:pPr>
      <w:tabs>
        <w:tab w:val="center" w:pos="4680"/>
        <w:tab w:val="right" w:pos="9360"/>
      </w:tabs>
    </w:pPr>
  </w:style>
  <w:style w:type="character" w:customStyle="1" w:styleId="FooterChar">
    <w:name w:val="Footer Char"/>
    <w:basedOn w:val="DefaultParagraphFont"/>
    <w:link w:val="Footer"/>
    <w:uiPriority w:val="99"/>
    <w:rsid w:val="00795190"/>
  </w:style>
  <w:style w:type="paragraph" w:styleId="HTMLPreformatted">
    <w:name w:val="HTML Preformatted"/>
    <w:basedOn w:val="Normal"/>
    <w:link w:val="HTMLPreformattedChar"/>
    <w:rsid w:val="00C77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77538"/>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257975"/>
    <w:rPr>
      <w:sz w:val="20"/>
      <w:szCs w:val="20"/>
    </w:rPr>
  </w:style>
  <w:style w:type="character" w:customStyle="1" w:styleId="CommentTextChar">
    <w:name w:val="Comment Text Char"/>
    <w:basedOn w:val="DefaultParagraphFont"/>
    <w:link w:val="CommentText"/>
    <w:uiPriority w:val="99"/>
    <w:semiHidden/>
    <w:rsid w:val="00257975"/>
    <w:rPr>
      <w:sz w:val="20"/>
      <w:szCs w:val="20"/>
    </w:rPr>
  </w:style>
  <w:style w:type="character" w:styleId="CommentReference">
    <w:name w:val="annotation reference"/>
    <w:basedOn w:val="DefaultParagraphFont"/>
    <w:uiPriority w:val="99"/>
    <w:semiHidden/>
    <w:unhideWhenUsed/>
    <w:rsid w:val="00257975"/>
    <w:rPr>
      <w:sz w:val="16"/>
      <w:szCs w:val="16"/>
    </w:rPr>
  </w:style>
  <w:style w:type="character" w:styleId="FollowedHyperlink">
    <w:name w:val="FollowedHyperlink"/>
    <w:basedOn w:val="DefaultParagraphFont"/>
    <w:uiPriority w:val="99"/>
    <w:semiHidden/>
    <w:unhideWhenUsed/>
    <w:rsid w:val="00EB2FC0"/>
    <w:rPr>
      <w:color w:val="800080" w:themeColor="followedHyperlink"/>
      <w:u w:val="single"/>
    </w:rPr>
  </w:style>
  <w:style w:type="character" w:styleId="Strong">
    <w:name w:val="Strong"/>
    <w:basedOn w:val="DefaultParagraphFont"/>
    <w:uiPriority w:val="22"/>
    <w:qFormat/>
    <w:rsid w:val="00751CBC"/>
    <w:rPr>
      <w:b/>
      <w:bCs/>
    </w:rPr>
  </w:style>
  <w:style w:type="character" w:styleId="Emphasis">
    <w:name w:val="Emphasis"/>
    <w:basedOn w:val="DefaultParagraphFont"/>
    <w:uiPriority w:val="20"/>
    <w:qFormat/>
    <w:rsid w:val="00C3292E"/>
    <w:rPr>
      <w:i/>
      <w:iCs/>
    </w:rPr>
  </w:style>
  <w:style w:type="paragraph" w:styleId="CommentSubject">
    <w:name w:val="annotation subject"/>
    <w:basedOn w:val="CommentText"/>
    <w:next w:val="CommentText"/>
    <w:link w:val="CommentSubjectChar"/>
    <w:uiPriority w:val="99"/>
    <w:semiHidden/>
    <w:unhideWhenUsed/>
    <w:rsid w:val="000B3B35"/>
    <w:rPr>
      <w:b/>
      <w:bCs/>
    </w:rPr>
  </w:style>
  <w:style w:type="character" w:customStyle="1" w:styleId="CommentSubjectChar">
    <w:name w:val="Comment Subject Char"/>
    <w:basedOn w:val="CommentTextChar"/>
    <w:link w:val="CommentSubject"/>
    <w:uiPriority w:val="99"/>
    <w:semiHidden/>
    <w:rsid w:val="000B3B35"/>
    <w:rPr>
      <w:b/>
      <w:bCs/>
      <w:sz w:val="20"/>
      <w:szCs w:val="20"/>
    </w:rPr>
  </w:style>
  <w:style w:type="paragraph" w:customStyle="1" w:styleId="selectionshareable">
    <w:name w:val="selectionshareable"/>
    <w:basedOn w:val="Normal"/>
    <w:rsid w:val="0097195E"/>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B689E"/>
    <w:rPr>
      <w:color w:val="605E5C"/>
      <w:shd w:val="clear" w:color="auto" w:fill="E1DFDD"/>
    </w:rPr>
  </w:style>
  <w:style w:type="character" w:customStyle="1" w:styleId="UnresolvedMention2">
    <w:name w:val="Unresolved Mention2"/>
    <w:basedOn w:val="DefaultParagraphFont"/>
    <w:uiPriority w:val="99"/>
    <w:semiHidden/>
    <w:unhideWhenUsed/>
    <w:rsid w:val="005C0016"/>
    <w:rPr>
      <w:color w:val="808080"/>
      <w:shd w:val="clear" w:color="auto" w:fill="E6E6E6"/>
    </w:rPr>
  </w:style>
  <w:style w:type="paragraph" w:customStyle="1" w:styleId="Pa2">
    <w:name w:val="Pa2"/>
    <w:basedOn w:val="Default"/>
    <w:next w:val="Default"/>
    <w:uiPriority w:val="99"/>
    <w:rsid w:val="000923EB"/>
    <w:pPr>
      <w:spacing w:line="241" w:lineRule="atLeast"/>
    </w:pPr>
    <w:rPr>
      <w:rFonts w:ascii="Montserrat SemiBold" w:hAnsi="Montserrat SemiBold" w:cstheme="minorBidi"/>
      <w:color w:val="auto"/>
    </w:rPr>
  </w:style>
  <w:style w:type="paragraph" w:customStyle="1" w:styleId="Pa0">
    <w:name w:val="Pa0"/>
    <w:basedOn w:val="Default"/>
    <w:next w:val="Default"/>
    <w:uiPriority w:val="99"/>
    <w:rsid w:val="000923EB"/>
    <w:pPr>
      <w:spacing w:line="241" w:lineRule="atLeast"/>
    </w:pPr>
    <w:rPr>
      <w:rFonts w:ascii="Montserrat SemiBold" w:hAnsi="Montserrat SemiBold" w:cstheme="minorBidi"/>
      <w:color w:val="auto"/>
    </w:rPr>
  </w:style>
  <w:style w:type="character" w:customStyle="1" w:styleId="A5">
    <w:name w:val="A5"/>
    <w:uiPriority w:val="99"/>
    <w:rsid w:val="000923EB"/>
    <w:rPr>
      <w:rFonts w:ascii="Montserrat" w:hAnsi="Montserrat" w:cs="Montserrat"/>
      <w:color w:val="000000"/>
      <w:sz w:val="16"/>
      <w:szCs w:val="16"/>
    </w:rPr>
  </w:style>
  <w:style w:type="character" w:customStyle="1" w:styleId="A8">
    <w:name w:val="A8"/>
    <w:uiPriority w:val="99"/>
    <w:rsid w:val="000923EB"/>
    <w:rPr>
      <w:rFonts w:ascii="Montserrat" w:hAnsi="Montserrat" w:cs="Montserrat"/>
      <w:color w:val="000000"/>
      <w:sz w:val="16"/>
      <w:szCs w:val="16"/>
      <w:u w:val="single"/>
    </w:rPr>
  </w:style>
  <w:style w:type="character" w:styleId="UnresolvedMention">
    <w:name w:val="Unresolved Mention"/>
    <w:basedOn w:val="DefaultParagraphFont"/>
    <w:uiPriority w:val="99"/>
    <w:semiHidden/>
    <w:unhideWhenUsed/>
    <w:rsid w:val="00505DBB"/>
    <w:rPr>
      <w:color w:val="605E5C"/>
      <w:shd w:val="clear" w:color="auto" w:fill="E1DFDD"/>
    </w:rPr>
  </w:style>
  <w:style w:type="paragraph" w:customStyle="1" w:styleId="xxxxmsonormal">
    <w:name w:val="x_x_x_xmsonormal"/>
    <w:basedOn w:val="Normal"/>
    <w:rsid w:val="001631A4"/>
    <w:pPr>
      <w:spacing w:before="100" w:beforeAutospacing="1" w:after="100" w:afterAutospacing="1"/>
    </w:pPr>
    <w:rPr>
      <w:rFonts w:ascii="Calibri" w:hAnsi="Calibri" w:cs="Calibri"/>
    </w:rPr>
  </w:style>
  <w:style w:type="character" w:customStyle="1" w:styleId="breakword">
    <w:name w:val="breakword"/>
    <w:basedOn w:val="DefaultParagraphFont"/>
    <w:rsid w:val="0016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8257">
      <w:bodyDiv w:val="1"/>
      <w:marLeft w:val="0"/>
      <w:marRight w:val="0"/>
      <w:marTop w:val="0"/>
      <w:marBottom w:val="0"/>
      <w:divBdr>
        <w:top w:val="none" w:sz="0" w:space="0" w:color="auto"/>
        <w:left w:val="none" w:sz="0" w:space="0" w:color="auto"/>
        <w:bottom w:val="none" w:sz="0" w:space="0" w:color="auto"/>
        <w:right w:val="none" w:sz="0" w:space="0" w:color="auto"/>
      </w:divBdr>
    </w:div>
    <w:div w:id="466708646">
      <w:bodyDiv w:val="1"/>
      <w:marLeft w:val="0"/>
      <w:marRight w:val="0"/>
      <w:marTop w:val="0"/>
      <w:marBottom w:val="0"/>
      <w:divBdr>
        <w:top w:val="none" w:sz="0" w:space="0" w:color="auto"/>
        <w:left w:val="none" w:sz="0" w:space="0" w:color="auto"/>
        <w:bottom w:val="none" w:sz="0" w:space="0" w:color="auto"/>
        <w:right w:val="none" w:sz="0" w:space="0" w:color="auto"/>
      </w:divBdr>
    </w:div>
    <w:div w:id="651639879">
      <w:bodyDiv w:val="1"/>
      <w:marLeft w:val="0"/>
      <w:marRight w:val="0"/>
      <w:marTop w:val="0"/>
      <w:marBottom w:val="0"/>
      <w:divBdr>
        <w:top w:val="none" w:sz="0" w:space="0" w:color="auto"/>
        <w:left w:val="none" w:sz="0" w:space="0" w:color="auto"/>
        <w:bottom w:val="none" w:sz="0" w:space="0" w:color="auto"/>
        <w:right w:val="none" w:sz="0" w:space="0" w:color="auto"/>
      </w:divBdr>
    </w:div>
    <w:div w:id="994575448">
      <w:bodyDiv w:val="1"/>
      <w:marLeft w:val="0"/>
      <w:marRight w:val="0"/>
      <w:marTop w:val="0"/>
      <w:marBottom w:val="0"/>
      <w:divBdr>
        <w:top w:val="none" w:sz="0" w:space="0" w:color="auto"/>
        <w:left w:val="none" w:sz="0" w:space="0" w:color="auto"/>
        <w:bottom w:val="none" w:sz="0" w:space="0" w:color="auto"/>
        <w:right w:val="none" w:sz="0" w:space="0" w:color="auto"/>
      </w:divBdr>
    </w:div>
    <w:div w:id="1306159550">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8">
          <w:marLeft w:val="0"/>
          <w:marRight w:val="0"/>
          <w:marTop w:val="0"/>
          <w:marBottom w:val="0"/>
          <w:divBdr>
            <w:top w:val="none" w:sz="0" w:space="0" w:color="auto"/>
            <w:left w:val="none" w:sz="0" w:space="0" w:color="auto"/>
            <w:bottom w:val="none" w:sz="0" w:space="0" w:color="auto"/>
            <w:right w:val="none" w:sz="0" w:space="0" w:color="auto"/>
          </w:divBdr>
          <w:divsChild>
            <w:div w:id="346180413">
              <w:marLeft w:val="0"/>
              <w:marRight w:val="0"/>
              <w:marTop w:val="0"/>
              <w:marBottom w:val="0"/>
              <w:divBdr>
                <w:top w:val="none" w:sz="0" w:space="0" w:color="auto"/>
                <w:left w:val="none" w:sz="0" w:space="0" w:color="auto"/>
                <w:bottom w:val="none" w:sz="0" w:space="0" w:color="auto"/>
                <w:right w:val="none" w:sz="0" w:space="0" w:color="auto"/>
              </w:divBdr>
            </w:div>
          </w:divsChild>
        </w:div>
        <w:div w:id="147132826">
          <w:marLeft w:val="0"/>
          <w:marRight w:val="0"/>
          <w:marTop w:val="0"/>
          <w:marBottom w:val="0"/>
          <w:divBdr>
            <w:top w:val="none" w:sz="0" w:space="0" w:color="auto"/>
            <w:left w:val="none" w:sz="0" w:space="0" w:color="auto"/>
            <w:bottom w:val="none" w:sz="0" w:space="0" w:color="auto"/>
            <w:right w:val="none" w:sz="0" w:space="0" w:color="auto"/>
          </w:divBdr>
        </w:div>
        <w:div w:id="1328051187">
          <w:marLeft w:val="0"/>
          <w:marRight w:val="0"/>
          <w:marTop w:val="0"/>
          <w:marBottom w:val="0"/>
          <w:divBdr>
            <w:top w:val="none" w:sz="0" w:space="0" w:color="auto"/>
            <w:left w:val="none" w:sz="0" w:space="0" w:color="auto"/>
            <w:bottom w:val="none" w:sz="0" w:space="0" w:color="auto"/>
            <w:right w:val="none" w:sz="0" w:space="0" w:color="auto"/>
          </w:divBdr>
        </w:div>
        <w:div w:id="1240797471">
          <w:marLeft w:val="0"/>
          <w:marRight w:val="0"/>
          <w:marTop w:val="0"/>
          <w:marBottom w:val="0"/>
          <w:divBdr>
            <w:top w:val="none" w:sz="0" w:space="0" w:color="auto"/>
            <w:left w:val="none" w:sz="0" w:space="0" w:color="auto"/>
            <w:bottom w:val="none" w:sz="0" w:space="0" w:color="auto"/>
            <w:right w:val="none" w:sz="0" w:space="0" w:color="auto"/>
          </w:divBdr>
        </w:div>
      </w:divsChild>
    </w:div>
    <w:div w:id="1425149470">
      <w:bodyDiv w:val="1"/>
      <w:marLeft w:val="0"/>
      <w:marRight w:val="0"/>
      <w:marTop w:val="0"/>
      <w:marBottom w:val="0"/>
      <w:divBdr>
        <w:top w:val="none" w:sz="0" w:space="0" w:color="auto"/>
        <w:left w:val="none" w:sz="0" w:space="0" w:color="auto"/>
        <w:bottom w:val="none" w:sz="0" w:space="0" w:color="auto"/>
        <w:right w:val="none" w:sz="0" w:space="0" w:color="auto"/>
      </w:divBdr>
    </w:div>
    <w:div w:id="1446117646">
      <w:bodyDiv w:val="1"/>
      <w:marLeft w:val="0"/>
      <w:marRight w:val="0"/>
      <w:marTop w:val="0"/>
      <w:marBottom w:val="0"/>
      <w:divBdr>
        <w:top w:val="none" w:sz="0" w:space="0" w:color="auto"/>
        <w:left w:val="none" w:sz="0" w:space="0" w:color="auto"/>
        <w:bottom w:val="none" w:sz="0" w:space="0" w:color="auto"/>
        <w:right w:val="none" w:sz="0" w:space="0" w:color="auto"/>
      </w:divBdr>
    </w:div>
    <w:div w:id="1623607079">
      <w:bodyDiv w:val="1"/>
      <w:marLeft w:val="0"/>
      <w:marRight w:val="0"/>
      <w:marTop w:val="0"/>
      <w:marBottom w:val="0"/>
      <w:divBdr>
        <w:top w:val="none" w:sz="0" w:space="0" w:color="auto"/>
        <w:left w:val="none" w:sz="0" w:space="0" w:color="auto"/>
        <w:bottom w:val="none" w:sz="0" w:space="0" w:color="auto"/>
        <w:right w:val="none" w:sz="0" w:space="0" w:color="auto"/>
      </w:divBdr>
    </w:div>
    <w:div w:id="1689602061">
      <w:bodyDiv w:val="1"/>
      <w:marLeft w:val="0"/>
      <w:marRight w:val="0"/>
      <w:marTop w:val="0"/>
      <w:marBottom w:val="0"/>
      <w:divBdr>
        <w:top w:val="none" w:sz="0" w:space="0" w:color="auto"/>
        <w:left w:val="none" w:sz="0" w:space="0" w:color="auto"/>
        <w:bottom w:val="none" w:sz="0" w:space="0" w:color="auto"/>
        <w:right w:val="none" w:sz="0" w:space="0" w:color="auto"/>
      </w:divBdr>
    </w:div>
    <w:div w:id="1722830322">
      <w:bodyDiv w:val="1"/>
      <w:marLeft w:val="0"/>
      <w:marRight w:val="0"/>
      <w:marTop w:val="0"/>
      <w:marBottom w:val="0"/>
      <w:divBdr>
        <w:top w:val="none" w:sz="0" w:space="0" w:color="auto"/>
        <w:left w:val="none" w:sz="0" w:space="0" w:color="auto"/>
        <w:bottom w:val="none" w:sz="0" w:space="0" w:color="auto"/>
        <w:right w:val="none" w:sz="0" w:space="0" w:color="auto"/>
      </w:divBdr>
      <w:divsChild>
        <w:div w:id="47193179">
          <w:marLeft w:val="0"/>
          <w:marRight w:val="0"/>
          <w:marTop w:val="0"/>
          <w:marBottom w:val="0"/>
          <w:divBdr>
            <w:top w:val="none" w:sz="0" w:space="0" w:color="auto"/>
            <w:left w:val="none" w:sz="0" w:space="0" w:color="auto"/>
            <w:bottom w:val="none" w:sz="0" w:space="0" w:color="auto"/>
            <w:right w:val="none" w:sz="0" w:space="0" w:color="auto"/>
          </w:divBdr>
        </w:div>
        <w:div w:id="1354961727">
          <w:marLeft w:val="0"/>
          <w:marRight w:val="0"/>
          <w:marTop w:val="0"/>
          <w:marBottom w:val="0"/>
          <w:divBdr>
            <w:top w:val="none" w:sz="0" w:space="0" w:color="auto"/>
            <w:left w:val="none" w:sz="0" w:space="0" w:color="auto"/>
            <w:bottom w:val="none" w:sz="0" w:space="0" w:color="auto"/>
            <w:right w:val="none" w:sz="0" w:space="0" w:color="auto"/>
          </w:divBdr>
        </w:div>
      </w:divsChild>
    </w:div>
    <w:div w:id="1920404104">
      <w:bodyDiv w:val="1"/>
      <w:marLeft w:val="0"/>
      <w:marRight w:val="0"/>
      <w:marTop w:val="0"/>
      <w:marBottom w:val="0"/>
      <w:divBdr>
        <w:top w:val="none" w:sz="0" w:space="0" w:color="auto"/>
        <w:left w:val="none" w:sz="0" w:space="0" w:color="auto"/>
        <w:bottom w:val="none" w:sz="0" w:space="0" w:color="auto"/>
        <w:right w:val="none" w:sz="0" w:space="0" w:color="auto"/>
      </w:divBdr>
      <w:divsChild>
        <w:div w:id="1802073404">
          <w:marLeft w:val="0"/>
          <w:marRight w:val="0"/>
          <w:marTop w:val="0"/>
          <w:marBottom w:val="0"/>
          <w:divBdr>
            <w:top w:val="none" w:sz="0" w:space="0" w:color="auto"/>
            <w:left w:val="none" w:sz="0" w:space="0" w:color="auto"/>
            <w:bottom w:val="none" w:sz="0" w:space="0" w:color="auto"/>
            <w:right w:val="none" w:sz="0" w:space="0" w:color="auto"/>
          </w:divBdr>
        </w:div>
        <w:div w:id="620695762">
          <w:marLeft w:val="0"/>
          <w:marRight w:val="0"/>
          <w:marTop w:val="0"/>
          <w:marBottom w:val="0"/>
          <w:divBdr>
            <w:top w:val="none" w:sz="0" w:space="0" w:color="auto"/>
            <w:left w:val="none" w:sz="0" w:space="0" w:color="auto"/>
            <w:bottom w:val="none" w:sz="0" w:space="0" w:color="auto"/>
            <w:right w:val="none" w:sz="0" w:space="0" w:color="auto"/>
          </w:divBdr>
        </w:div>
        <w:div w:id="1461920672">
          <w:marLeft w:val="0"/>
          <w:marRight w:val="0"/>
          <w:marTop w:val="0"/>
          <w:marBottom w:val="0"/>
          <w:divBdr>
            <w:top w:val="none" w:sz="0" w:space="0" w:color="auto"/>
            <w:left w:val="none" w:sz="0" w:space="0" w:color="auto"/>
            <w:bottom w:val="none" w:sz="0" w:space="0" w:color="auto"/>
            <w:right w:val="none" w:sz="0" w:space="0" w:color="auto"/>
          </w:divBdr>
        </w:div>
        <w:div w:id="1045645485">
          <w:marLeft w:val="0"/>
          <w:marRight w:val="0"/>
          <w:marTop w:val="0"/>
          <w:marBottom w:val="0"/>
          <w:divBdr>
            <w:top w:val="none" w:sz="0" w:space="0" w:color="auto"/>
            <w:left w:val="none" w:sz="0" w:space="0" w:color="auto"/>
            <w:bottom w:val="none" w:sz="0" w:space="0" w:color="auto"/>
            <w:right w:val="none" w:sz="0" w:space="0" w:color="auto"/>
          </w:divBdr>
        </w:div>
        <w:div w:id="1042634537">
          <w:marLeft w:val="0"/>
          <w:marRight w:val="0"/>
          <w:marTop w:val="0"/>
          <w:marBottom w:val="0"/>
          <w:divBdr>
            <w:top w:val="none" w:sz="0" w:space="0" w:color="auto"/>
            <w:left w:val="none" w:sz="0" w:space="0" w:color="auto"/>
            <w:bottom w:val="none" w:sz="0" w:space="0" w:color="auto"/>
            <w:right w:val="none" w:sz="0" w:space="0" w:color="auto"/>
          </w:divBdr>
        </w:div>
      </w:divsChild>
    </w:div>
    <w:div w:id="20956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bsf.org/community-development/files/cra_30_years_wealth_buildi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nhd.org/black-and-latino-borrowers-locked-out-of-homeownership-in-new-york-city-new-lending-data-shows/" TargetMode="External"/><Relationship Id="rId4" Type="http://schemas.openxmlformats.org/officeDocument/2006/relationships/settings" Target="settings.xml"/><Relationship Id="rId9" Type="http://schemas.openxmlformats.org/officeDocument/2006/relationships/hyperlink" Target="https://anhd.org/report/state-bank-reinvestment-new-york-city-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nhd.org/sites/default/files/ami_cheat_sheet_2019_060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3463-C54C-48B1-B96A-0DA67C92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10474</Characters>
  <Application>Microsoft Office Word</Application>
  <DocSecurity>4</DocSecurity>
  <Lines>227</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Weisberg</dc:creator>
  <cp:lastModifiedBy>Melanie Breault</cp:lastModifiedBy>
  <cp:revision>2</cp:revision>
  <cp:lastPrinted>2018-10-23T22:33:00Z</cp:lastPrinted>
  <dcterms:created xsi:type="dcterms:W3CDTF">2020-01-16T21:59:00Z</dcterms:created>
  <dcterms:modified xsi:type="dcterms:W3CDTF">2020-01-16T21:59:00Z</dcterms:modified>
</cp:coreProperties>
</file>